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30"/>
        </w:tabs>
        <w:rPr>
          <w:rFonts w:ascii="黑体" w:hAnsi="黑体" w:eastAsia="黑体" w:cs="Arial"/>
          <w:b/>
          <w:bCs/>
          <w:sz w:val="20"/>
          <w:szCs w:val="20"/>
        </w:rPr>
      </w:pPr>
      <w:r>
        <w:rPr>
          <w:rFonts w:hint="eastAsia" w:ascii="黑体" w:hAnsi="黑体" w:eastAsia="黑体" w:cs="Arial"/>
          <w:b/>
          <w:bCs/>
          <w:sz w:val="20"/>
          <w:szCs w:val="20"/>
          <w:highlight w:val="none"/>
          <w:u w:val="none"/>
        </w:rPr>
        <w:t>产品登记编码：</w:t>
      </w:r>
      <w:r>
        <w:rPr>
          <w:rFonts w:hint="eastAsia" w:ascii="黑体" w:hAnsi="黑体" w:eastAsia="黑体" w:cs="Arial"/>
          <w:b/>
          <w:bCs/>
          <w:sz w:val="20"/>
          <w:szCs w:val="20"/>
          <w:lang w:eastAsia="zh-CN"/>
        </w:rPr>
        <w:t>【Z7007126000323】</w:t>
      </w:r>
      <w:r>
        <w:rPr>
          <w:rFonts w:ascii="黑体" w:hAnsi="黑体" w:eastAsia="黑体" w:cs="Arial"/>
          <w:b/>
          <w:bCs/>
          <w:sz w:val="20"/>
          <w:szCs w:val="20"/>
          <w:highlight w:val="none"/>
          <w:u w:val="none"/>
        </w:rPr>
        <w:t xml:space="preserve">                               </w:t>
      </w:r>
      <w:r>
        <w:rPr>
          <w:rFonts w:hint="eastAsia" w:ascii="黑体" w:hAnsi="黑体" w:eastAsia="黑体" w:cs="Arial"/>
          <w:b/>
          <w:bCs/>
          <w:sz w:val="20"/>
          <w:szCs w:val="20"/>
          <w:highlight w:val="none"/>
          <w:u w:val="none"/>
        </w:rPr>
        <w:t>版本号：</w:t>
      </w:r>
      <w:r>
        <w:rPr>
          <w:rFonts w:hint="eastAsia" w:ascii="黑体" w:hAnsi="黑体" w:eastAsia="黑体" w:cs="Arial"/>
          <w:b/>
          <w:bCs/>
          <w:sz w:val="20"/>
          <w:szCs w:val="20"/>
          <w:lang w:eastAsia="zh-CN"/>
        </w:rPr>
        <w:t>【2026.02】</w:t>
      </w:r>
    </w:p>
    <w:p>
      <w:pPr>
        <w:ind w:firstLine="720"/>
        <w:jc w:val="center"/>
        <w:rPr>
          <w:rFonts w:ascii="黑体" w:hAnsi="黑体" w:eastAsia="黑体"/>
          <w:b/>
          <w:bCs/>
          <w:sz w:val="36"/>
          <w:u w:val="none"/>
        </w:rPr>
      </w:pPr>
    </w:p>
    <w:p>
      <w:pPr>
        <w:pStyle w:val="2"/>
        <w:spacing w:after="0" w:line="360" w:lineRule="auto"/>
        <w:jc w:val="center"/>
        <w:rPr>
          <w:rFonts w:ascii="黑体" w:hAnsi="黑体" w:eastAsia="黑体" w:cs="黑体"/>
          <w:color w:val="auto"/>
          <w:sz w:val="36"/>
          <w:szCs w:val="36"/>
          <w:u w:val="none"/>
        </w:rPr>
      </w:pPr>
      <w:r>
        <w:rPr>
          <w:rFonts w:hint="eastAsia" w:ascii="黑体" w:hAnsi="黑体" w:eastAsia="黑体" w:cs="黑体"/>
          <w:sz w:val="32"/>
          <w:szCs w:val="32"/>
          <w:u w:val="none"/>
          <w:lang w:eastAsia="zh-CN"/>
        </w:rPr>
        <w:t>【上银理财“易享利”系列开放式持有期理财产品WPEK26M0329期】</w:t>
      </w:r>
    </w:p>
    <w:p>
      <w:pPr>
        <w:ind w:firstLine="0"/>
        <w:jc w:val="center"/>
        <w:outlineLvl w:val="0"/>
        <w:rPr>
          <w:rFonts w:hint="eastAsia" w:ascii="黑体" w:hAnsi="黑体" w:eastAsia="黑体" w:cs="黑体"/>
          <w:b/>
          <w:bCs/>
          <w:color w:val="auto"/>
          <w:kern w:val="44"/>
          <w:sz w:val="32"/>
          <w:szCs w:val="32"/>
          <w:u w:val="none"/>
        </w:rPr>
      </w:pPr>
      <w:r>
        <w:rPr>
          <w:rFonts w:hint="eastAsia" w:ascii="黑体" w:hAnsi="黑体" w:eastAsia="黑体" w:cs="黑体"/>
          <w:b/>
          <w:bCs/>
          <w:color w:val="auto"/>
          <w:kern w:val="44"/>
          <w:sz w:val="32"/>
          <w:szCs w:val="32"/>
          <w:u w:val="none"/>
        </w:rPr>
        <w:t>风险揭示书</w:t>
      </w:r>
    </w:p>
    <w:p>
      <w:pPr>
        <w:ind w:firstLine="720"/>
        <w:jc w:val="center"/>
        <w:outlineLvl w:val="0"/>
        <w:rPr>
          <w:rFonts w:ascii="黑体" w:hAnsi="黑体" w:eastAsia="黑体"/>
          <w:b/>
          <w:bCs/>
          <w:sz w:val="28"/>
          <w:u w:val="none"/>
        </w:rPr>
      </w:pPr>
      <w:r>
        <w:rPr>
          <w:rFonts w:hint="eastAsia" w:ascii="黑体" w:hAnsi="黑体" w:eastAsia="黑体"/>
          <w:b/>
          <w:bCs/>
          <w:color w:val="auto"/>
          <w:sz w:val="28"/>
          <w:u w:val="none"/>
        </w:rPr>
        <w:t>（产品代码</w:t>
      </w:r>
      <w:r>
        <w:rPr>
          <w:rFonts w:ascii="黑体" w:hAnsi="黑体" w:eastAsia="黑体"/>
          <w:b/>
          <w:bCs/>
          <w:color w:val="auto"/>
          <w:sz w:val="28"/>
          <w:u w:val="none"/>
        </w:rPr>
        <w:t>：</w:t>
      </w:r>
      <w:r>
        <w:rPr>
          <w:rFonts w:hint="eastAsia" w:ascii="黑体" w:hAnsi="黑体" w:eastAsia="黑体"/>
          <w:b/>
          <w:bCs/>
          <w:color w:val="auto"/>
          <w:sz w:val="28"/>
          <w:u w:val="none"/>
          <w:lang w:eastAsia="zh-CN"/>
        </w:rPr>
        <w:t>【WPEK26M0329】</w:t>
      </w:r>
      <w:r>
        <w:rPr>
          <w:rFonts w:hint="eastAsia" w:ascii="黑体" w:hAnsi="黑体" w:eastAsia="黑体"/>
          <w:b/>
          <w:bCs/>
          <w:sz w:val="28"/>
          <w:u w:val="none"/>
        </w:rPr>
        <w:t>）</w:t>
      </w:r>
    </w:p>
    <w:p>
      <w:pPr>
        <w:snapToGrid w:val="0"/>
        <w:spacing w:line="360" w:lineRule="auto"/>
        <w:rPr>
          <w:rFonts w:hint="eastAsia" w:ascii="楷体" w:hAnsi="楷体" w:eastAsia="楷体" w:cs="楷体"/>
          <w:b/>
          <w:bCs/>
          <w:szCs w:val="21"/>
          <w:u w:val="none"/>
        </w:rPr>
      </w:pPr>
      <w:r>
        <w:rPr>
          <w:rFonts w:hint="eastAsia" w:ascii="楷体" w:hAnsi="楷体" w:eastAsia="楷体" w:cs="楷体"/>
          <w:b/>
          <w:bCs/>
          <w:szCs w:val="21"/>
          <w:u w:val="none"/>
        </w:rPr>
        <w:t>尊敬的客户：</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由于理财资金管理运用过程中，可能会面临多种风险因素，因此，根据金融监管部门相关监管规定的要求，在您选择购买本理财产品前，请仔细阅读以下重要内容：</w:t>
      </w:r>
    </w:p>
    <w:p>
      <w:pPr>
        <w:snapToGrid w:val="0"/>
        <w:spacing w:line="360" w:lineRule="auto"/>
        <w:ind w:firstLine="413" w:firstLineChars="196"/>
        <w:outlineLvl w:val="0"/>
        <w:rPr>
          <w:rFonts w:hint="eastAsia" w:ascii="楷体" w:hAnsi="楷体" w:eastAsia="楷体" w:cs="楷体"/>
          <w:b/>
          <w:bCs/>
          <w:szCs w:val="21"/>
          <w:u w:val="none"/>
        </w:rPr>
      </w:pPr>
      <w:r>
        <w:rPr>
          <w:rFonts w:hint="eastAsia" w:ascii="楷体" w:hAnsi="楷体" w:eastAsia="楷体" w:cs="楷体"/>
          <w:b/>
          <w:bCs/>
          <w:szCs w:val="21"/>
          <w:u w:val="none"/>
        </w:rPr>
        <w:t>一、风险揭示</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color w:val="C00000"/>
          <w:szCs w:val="21"/>
          <w:u w:val="none"/>
        </w:rPr>
        <w:t>理财非存款、产品有风险、投资须谨慎。</w:t>
      </w:r>
      <w:r>
        <w:rPr>
          <w:rFonts w:hint="eastAsia" w:ascii="楷体" w:hAnsi="楷体" w:eastAsia="楷体" w:cs="楷体"/>
          <w:b/>
          <w:bCs/>
          <w:szCs w:val="21"/>
          <w:u w:val="none"/>
        </w:rPr>
        <w:t>理财产品管理人承诺以诚实信用、勤勉尽责的原则管理和运用理财产品资产，但不保证理财产品一定盈利，也不保证本金安全和最低收益。本《风险揭示书》旨在揭示本理财产品可能面临的各种风险，投资者应当认真阅读本《风险揭示书》，充分认识以下风</w:t>
      </w:r>
      <w:r>
        <w:rPr>
          <w:rFonts w:hint="eastAsia" w:ascii="楷体" w:hAnsi="楷体" w:eastAsia="楷体" w:cs="楷体"/>
          <w:b/>
          <w:bCs/>
          <w:spacing w:val="20"/>
          <w:sz w:val="21"/>
          <w:szCs w:val="21"/>
          <w:u w:val="none"/>
        </w:rPr>
        <w:t>险：</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（一）本金及理财收益风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不保障本金且不保证理财收益。投资者的本金和理财收益（如有，下同）可能会因理财产品所投资的资产的运作情况、市场变动而蒙受重大损失。投资者应充分认识投资风险，谨慎投资。本理财产品收益来源于理财产品所投资资产组合的收益分配、出让或其他方式处分及/或持有到期的收入。如资产组合内的底层债券、债权等资产发生市场风险、违约风险和流动性风险，由此产生的理财本金及理财收益损失的风险由投资者自行承担；如资产组合无法正常处置的，则</w:t>
      </w:r>
      <w:r>
        <w:rPr>
          <w:rFonts w:hint="eastAsia" w:ascii="楷体" w:hAnsi="楷体" w:eastAsia="楷体" w:cs="楷体"/>
          <w:b/>
          <w:bCs/>
          <w:szCs w:val="21"/>
          <w:u w:val="none"/>
        </w:rPr>
        <w:t>由此产生的本金及理财收益损失的风险由投资者自行承担。在发生资产违约且无法正常处置等最不利情况下投资者将可能损失全部本金。</w:t>
      </w:r>
    </w:p>
    <w:p>
      <w:pPr>
        <w:snapToGrid w:val="0"/>
        <w:spacing w:line="360" w:lineRule="auto"/>
        <w:ind w:firstLine="422" w:firstLineChars="200"/>
        <w:rPr>
          <w:rFonts w:ascii="楷体_GB2312" w:hAnsi="宋体" w:eastAsia="楷体_GB2312"/>
          <w:b/>
          <w:bCs/>
          <w:szCs w:val="21"/>
          <w:u w:val="none"/>
        </w:rPr>
      </w:pPr>
      <w:r>
        <w:rPr>
          <w:rFonts w:hint="eastAsia" w:ascii="楷体" w:hAnsi="楷体" w:eastAsia="楷体" w:cs="楷体"/>
          <w:b/>
          <w:bCs/>
          <w:szCs w:val="21"/>
          <w:u w:val="none"/>
        </w:rPr>
        <w:t>（二）信用风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本理财产品部分资产可能投资于标准化债权资产、权益类资产等，因此有可能由于发行主体或交易对手信用状况恶化导致交易违约，致使本理财产品到期实际收益不足业绩比较基准，</w:t>
      </w:r>
      <w:r>
        <w:rPr>
          <w:rFonts w:hint="eastAsia" w:ascii="楷体" w:hAnsi="楷体" w:eastAsia="楷体" w:cs="楷体"/>
          <w:b/>
          <w:bCs/>
          <w:szCs w:val="21"/>
          <w:u w:val="none"/>
        </w:rPr>
        <w:t>该种情况下，管理人将按照投资实际收益情况，并以资产变现实际收到的资金为限支付投资人收益，投资人将自行承担由此而导致的理财收益减少乃至本金损失的风险。</w:t>
      </w:r>
      <w:r>
        <w:rPr>
          <w:rFonts w:hint="eastAsia" w:ascii="楷体" w:hAnsi="楷体" w:eastAsia="楷体" w:cs="楷体"/>
          <w:b w:val="0"/>
          <w:bCs w:val="0"/>
          <w:szCs w:val="21"/>
          <w:u w:val="none"/>
        </w:rPr>
        <w:t>本理财产品运作过程中，投资管理人将密切关注投资组合信用风险变化，根据债务人等信用等级的调整及时调整投资组合，尽最大努力管理信用风险。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（三）市场风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在理财产品合同约定的投资范围内，产品可能面临国家政策、经济周期、利率、汇率等因素发生变化。受以上情况及未来可能出现的其他重要市场因素变化的影响，本理财产品所投资的资产或资产组合价值可能出现波动，从而影响本理财产品的收益，则投资者可能面临本金和收益遭受部分甚至全部损失的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（四）管理人风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由于管理人（包括本理财产品的投资管理人、所投资的信托计划/资管计划/基金的受托人/管理人（如有）、相关投资顾问（如有）等，下同）受经验、技能等因素的限制，会影响其对信息的获取和对经济形势、金融市场价格走势的判断，如管理人判断有误、获取信息不全、或对投资工具使用不当等，可能导致本理财产品项下的理财资金遭受损失。如信托计划/资管计划/基金的受托人/管理人（如有）、相关投资顾问（如有）、所投资基金或资管计划的代理销售机构（如有）等及其内部作业、人员管理及系统操作不当或失误，或违背相关合同约定、未严格执行风险控制措施、处理事务不当等，可能导致本理财产品项下的理财资金遭受损失。</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（五）政策风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本理财产品是针对当前的相关法规和政策设计的，如国家宏观政策以及市场相关法规政策等发生变化，可能影响本理财产品的受理、投资、偿还等的正常进行，</w:t>
      </w:r>
      <w:r>
        <w:rPr>
          <w:rFonts w:hint="eastAsia" w:ascii="楷体" w:hAnsi="楷体" w:eastAsia="楷体" w:cs="楷体"/>
          <w:b/>
          <w:bCs/>
          <w:szCs w:val="21"/>
          <w:u w:val="none"/>
        </w:rPr>
        <w:t>导致本理财产品收益降低甚至本金损失。</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（六）理财产品不成立风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如自本理财产品开始认购至理财产品原定成立日之前，理财产品认购总金额未达到最低发行规模（如有约定），或国家宏观政策以及市场相关法规政策发生变化，或市场发生剧烈波动，或出现其他使得本理财产品无法正常成立或正常运作的情况，经管理人合理判断难以按照本</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规定向投资者提供本理财产品，管理人有权宣布本理财产品不成立。</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（七）延期风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如因理财产品所投资的标的资产因市场风险、流动性风险、信用风险等原因造成产品不能按时还本付息，理财期限将相应延长。如管理人延长理财产品期限，将通过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“信息披露”约定的信息披露渠道向投资者发布信息公告。</w:t>
      </w:r>
    </w:p>
    <w:p>
      <w:pPr>
        <w:snapToGrid w:val="0"/>
        <w:spacing w:line="360" w:lineRule="auto"/>
        <w:ind w:firstLine="422" w:firstLineChars="200"/>
        <w:rPr>
          <w:rFonts w:hint="eastAsia" w:ascii="楷体" w:hAnsi="楷体" w:eastAsia="楷体" w:cs="楷体"/>
          <w:b/>
          <w:bCs/>
          <w:color w:val="auto"/>
          <w:szCs w:val="21"/>
          <w:u w:val="none"/>
        </w:rPr>
      </w:pPr>
      <w:r>
        <w:rPr>
          <w:rFonts w:hint="eastAsia" w:ascii="楷体" w:hAnsi="楷体" w:eastAsia="楷体" w:cs="楷体"/>
          <w:b/>
          <w:bCs/>
          <w:szCs w:val="21"/>
          <w:u w:val="none"/>
        </w:rPr>
        <w:t>（八）投</w:t>
      </w:r>
      <w:r>
        <w:rPr>
          <w:rFonts w:hint="eastAsia" w:ascii="楷体" w:hAnsi="楷体" w:eastAsia="楷体" w:cs="楷体"/>
          <w:b/>
          <w:bCs/>
          <w:color w:val="auto"/>
          <w:szCs w:val="21"/>
          <w:u w:val="none"/>
        </w:rPr>
        <w:t>资者资金流动性风</w:t>
      </w:r>
      <w:r>
        <w:rPr>
          <w:rFonts w:hint="eastAsia" w:ascii="楷体" w:hAnsi="楷体" w:eastAsia="楷体" w:cs="楷体"/>
          <w:b/>
          <w:bCs/>
          <w:spacing w:val="20"/>
          <w:sz w:val="21"/>
          <w:szCs w:val="21"/>
          <w:u w:val="none"/>
        </w:rPr>
        <w:t>险：</w:t>
      </w:r>
      <w:r>
        <w:rPr>
          <w:rFonts w:hint="eastAsia" w:ascii="楷体" w:hAnsi="楷体" w:eastAsia="楷体" w:cs="楷体"/>
          <w:b/>
          <w:bCs/>
          <w:color w:val="auto"/>
          <w:szCs w:val="21"/>
          <w:u w:val="none"/>
        </w:rPr>
        <w:t>本理财产品</w:t>
      </w:r>
      <w:r>
        <w:rPr>
          <w:rFonts w:hint="eastAsia" w:ascii="楷体" w:hAnsi="楷体" w:eastAsia="楷体" w:cs="楷体"/>
          <w:b/>
          <w:bCs/>
          <w:color w:val="auto"/>
          <w:szCs w:val="21"/>
          <w:u w:val="none"/>
          <w:lang w:val="en-US" w:eastAsia="zh-CN"/>
        </w:rPr>
        <w:t>期限为【30.1年】</w:t>
      </w:r>
      <w:r>
        <w:rPr>
          <w:rFonts w:hint="eastAsia" w:ascii="楷体" w:hAnsi="楷体" w:eastAsia="楷体" w:cs="楷体"/>
          <w:b/>
          <w:bCs/>
          <w:color w:val="auto"/>
          <w:szCs w:val="21"/>
          <w:u w:val="none"/>
        </w:rPr>
        <w:t>，</w:t>
      </w:r>
      <w:r>
        <w:rPr>
          <w:rFonts w:hint="eastAsia" w:ascii="楷体" w:hAnsi="楷体" w:eastAsia="楷体" w:cs="楷体"/>
          <w:b/>
          <w:bCs/>
          <w:color w:val="auto"/>
          <w:szCs w:val="21"/>
          <w:u w:val="none"/>
          <w:lang w:val="en-US" w:eastAsia="zh-CN"/>
        </w:rPr>
        <w:t>【在理财产品存续期内，除投资封闭期外每一自然日为产品开放日】，</w:t>
      </w:r>
      <w:r>
        <w:rPr>
          <w:rFonts w:hint="eastAsia" w:ascii="楷体" w:hAnsi="楷体" w:eastAsia="楷体" w:cs="楷体"/>
          <w:b/>
          <w:bCs/>
          <w:color w:val="auto"/>
          <w:szCs w:val="21"/>
          <w:lang w:val="en-US" w:eastAsia="zh-CN"/>
        </w:rPr>
        <w:t>投资者可在产品开放日内办理申购，</w:t>
      </w:r>
      <w:r>
        <w:rPr>
          <w:rFonts w:hint="eastAsia" w:ascii="楷体" w:hAnsi="楷体" w:eastAsia="楷体" w:cs="楷体"/>
          <w:b/>
          <w:bCs/>
          <w:color w:val="auto"/>
          <w:szCs w:val="21"/>
          <w:u w:val="none"/>
          <w:lang w:val="en-US" w:eastAsia="zh-CN"/>
        </w:rPr>
        <w:t>但</w:t>
      </w:r>
      <w:r>
        <w:rPr>
          <w:rFonts w:hint="eastAsia" w:ascii="楷体" w:hAnsi="楷体" w:eastAsia="楷体" w:cs="楷体"/>
          <w:b/>
          <w:bCs/>
          <w:color w:val="auto"/>
          <w:szCs w:val="21"/>
          <w:u w:val="none"/>
        </w:rPr>
        <w:t>只能在持有本理财产品相应份额达到</w:t>
      </w:r>
      <w:r>
        <w:rPr>
          <w:rFonts w:hint="eastAsia" w:ascii="楷体" w:hAnsi="楷体" w:eastAsia="楷体" w:cs="楷体"/>
          <w:b/>
          <w:bCs/>
          <w:color w:val="auto"/>
          <w:szCs w:val="21"/>
          <w:u w:val="none"/>
          <w:lang w:eastAsia="zh-CN"/>
        </w:rPr>
        <w:t>【90】</w:t>
      </w:r>
      <w:r>
        <w:rPr>
          <w:rFonts w:hint="eastAsia" w:ascii="楷体" w:hAnsi="楷体" w:eastAsia="楷体" w:cs="楷体"/>
          <w:b/>
          <w:bCs/>
          <w:color w:val="auto"/>
          <w:szCs w:val="21"/>
          <w:u w:val="none"/>
        </w:rPr>
        <w:t>个自然日的最短持有期后</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由于最短持有期结束日若为非</w:t>
      </w:r>
      <w:r>
        <w:rPr>
          <w:rFonts w:hint="eastAsia" w:ascii="楷体" w:hAnsi="楷体" w:eastAsia="楷体" w:cs="楷体"/>
          <w:b/>
          <w:bCs/>
          <w:color w:val="auto"/>
          <w:szCs w:val="21"/>
          <w:u w:val="none"/>
          <w:lang w:eastAsia="zh-CN"/>
        </w:rPr>
        <w:t>【交易日】</w:t>
      </w:r>
      <w:r>
        <w:rPr>
          <w:rFonts w:hint="eastAsia" w:ascii="楷体" w:hAnsi="楷体" w:eastAsia="楷体" w:cs="楷体"/>
          <w:b/>
          <w:bCs/>
          <w:color w:val="auto"/>
          <w:szCs w:val="21"/>
          <w:u w:val="none"/>
          <w:lang w:val="en-US" w:eastAsia="zh-CN"/>
        </w:rPr>
        <w:t>则自动顺延至下一</w:t>
      </w:r>
      <w:r>
        <w:rPr>
          <w:rFonts w:hint="eastAsia" w:ascii="楷体" w:hAnsi="楷体" w:eastAsia="楷体" w:cs="楷体"/>
          <w:b/>
          <w:bCs/>
          <w:color w:val="auto"/>
          <w:szCs w:val="21"/>
          <w:u w:val="none"/>
          <w:lang w:eastAsia="zh-CN"/>
        </w:rPr>
        <w:t>【交易日】</w:t>
      </w:r>
      <w:r>
        <w:rPr>
          <w:rFonts w:hint="eastAsia" w:ascii="楷体" w:hAnsi="楷体" w:eastAsia="楷体" w:cs="楷体"/>
          <w:b/>
          <w:bCs/>
          <w:color w:val="auto"/>
          <w:szCs w:val="21"/>
          <w:u w:val="none"/>
          <w:lang w:val="en-US" w:eastAsia="zh-CN"/>
        </w:rPr>
        <w:t>等原因，每个最短持有期实际上可能长于</w:t>
      </w:r>
      <w:r>
        <w:rPr>
          <w:rFonts w:hint="eastAsia" w:ascii="楷体" w:hAnsi="楷体" w:eastAsia="楷体" w:cs="楷体"/>
          <w:b/>
          <w:bCs/>
          <w:color w:val="auto"/>
          <w:szCs w:val="21"/>
          <w:u w:val="none"/>
          <w:lang w:eastAsia="zh-CN"/>
        </w:rPr>
        <w:t>【90】</w:t>
      </w:r>
      <w:r>
        <w:rPr>
          <w:rFonts w:hint="eastAsia" w:ascii="楷体" w:hAnsi="楷体" w:eastAsia="楷体" w:cs="楷体"/>
          <w:b/>
          <w:bCs/>
          <w:color w:val="auto"/>
          <w:szCs w:val="21"/>
          <w:u w:val="none"/>
          <w:lang w:val="en-US" w:eastAsia="zh-CN"/>
        </w:rPr>
        <w:t>个自然日</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，才能在</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产品说明书</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规定的开放日内办理赎回。</w:t>
      </w:r>
      <w:r>
        <w:rPr>
          <w:rFonts w:hint="eastAsia" w:ascii="楷体" w:hAnsi="楷体" w:eastAsia="楷体" w:cs="楷体"/>
          <w:b w:val="0"/>
          <w:bCs w:val="0"/>
          <w:color w:val="auto"/>
          <w:szCs w:val="21"/>
          <w:u w:val="none"/>
        </w:rPr>
        <w:t>在理财产品存续期内，若理财产品任一开放日净赎回</w:t>
      </w:r>
      <w:r>
        <w:rPr>
          <w:rFonts w:hint="eastAsia" w:ascii="楷体" w:hAnsi="楷体" w:eastAsia="楷体" w:cs="楷体"/>
          <w:b w:val="0"/>
          <w:bCs w:val="0"/>
          <w:color w:val="auto"/>
          <w:szCs w:val="21"/>
          <w:u w:val="none"/>
          <w:lang w:val="en-US" w:eastAsia="zh-CN"/>
        </w:rPr>
        <w:t>申请份</w:t>
      </w:r>
      <w:r>
        <w:rPr>
          <w:rFonts w:hint="eastAsia" w:ascii="楷体" w:hAnsi="楷体" w:eastAsia="楷体" w:cs="楷体"/>
          <w:b w:val="0"/>
          <w:bCs w:val="0"/>
          <w:color w:val="auto"/>
          <w:szCs w:val="21"/>
          <w:u w:val="none"/>
        </w:rPr>
        <w:t>额（赎回申请份额总数扣除申购申请份额总数）超过本理财产品上一</w:t>
      </w:r>
      <w:r>
        <w:rPr>
          <w:rFonts w:hint="eastAsia" w:ascii="楷体" w:hAnsi="楷体" w:eastAsia="楷体" w:cs="楷体"/>
          <w:b w:val="0"/>
          <w:bCs w:val="0"/>
          <w:color w:val="auto"/>
          <w:szCs w:val="21"/>
          <w:u w:val="none"/>
          <w:lang w:val="en-US" w:eastAsia="zh-CN"/>
        </w:rPr>
        <w:t>【交易日】</w:t>
      </w:r>
      <w:r>
        <w:rPr>
          <w:rFonts w:hint="eastAsia" w:ascii="楷体" w:hAnsi="楷体" w:eastAsia="楷体" w:cs="楷体"/>
          <w:b w:val="0"/>
          <w:bCs w:val="0"/>
          <w:color w:val="auto"/>
          <w:szCs w:val="21"/>
          <w:u w:val="none"/>
        </w:rPr>
        <w:t>日终份额的10%时，即为发生巨额赎回。</w:t>
      </w:r>
      <w:r>
        <w:rPr>
          <w:rFonts w:hint="eastAsia" w:ascii="楷体" w:hAnsi="楷体" w:eastAsia="楷体" w:cs="楷体"/>
          <w:b/>
          <w:bCs/>
          <w:color w:val="auto"/>
          <w:szCs w:val="21"/>
          <w:u w:val="none"/>
        </w:rPr>
        <w:t>出现巨额赎回时，管理人有权依照理财产品当时的资产组合状况选择全额赎回、部分赎回或延缓支付，由此可能影响投资者的资金流动性安排，带来流动性风险。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（九）提前终止风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管理人有权但无义务在理财产品到期日之前终止本理财产品，如管理人在特定情况下在理财产品预计到期日之前终止理财产品，则该理财产品的实际理财期可能短于预计存续期限。如果理财产品提前到期</w:t>
      </w:r>
      <w:r>
        <w:rPr>
          <w:rFonts w:hint="eastAsia" w:ascii="楷体" w:hAnsi="楷体" w:eastAsia="楷体" w:cs="楷体"/>
          <w:szCs w:val="21"/>
          <w:lang w:eastAsia="zh-CN"/>
        </w:rPr>
        <w:t>，投资者将面临再投资机会风险。</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（十）信息传递风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w:t>
      </w:r>
      <w:r>
        <w:rPr>
          <w:rFonts w:hint="eastAsia" w:ascii="楷体" w:hAnsi="楷体" w:eastAsia="楷体" w:cs="楷体"/>
          <w:b w:val="0"/>
          <w:bCs w:val="0"/>
          <w:szCs w:val="21"/>
          <w:u w:val="none"/>
          <w:lang w:val="en-US" w:eastAsia="zh-CN"/>
        </w:rPr>
        <w:t>产品认购期和</w:t>
      </w:r>
      <w:r>
        <w:rPr>
          <w:rFonts w:hint="eastAsia" w:ascii="楷体" w:hAnsi="楷体" w:eastAsia="楷体" w:cs="楷体"/>
          <w:b w:val="0"/>
          <w:bCs w:val="0"/>
          <w:szCs w:val="21"/>
          <w:u w:val="none"/>
        </w:rPr>
        <w:t>存续期间，</w:t>
      </w:r>
      <w:r>
        <w:rPr>
          <w:rFonts w:hint="eastAsia" w:ascii="楷体" w:hAnsi="楷体" w:eastAsia="楷体" w:cs="楷体"/>
          <w:b w:val="0"/>
          <w:bCs w:val="0"/>
          <w:szCs w:val="21"/>
          <w:u w:val="none"/>
          <w:lang w:val="en-US" w:eastAsia="zh-CN"/>
        </w:rPr>
        <w:t>将通过产品管理人官方网站或</w:t>
      </w:r>
      <w:r>
        <w:rPr>
          <w:rFonts w:hint="eastAsia" w:ascii="楷体" w:hAnsi="楷体" w:eastAsia="楷体" w:cs="楷体"/>
          <w:b w:val="0"/>
          <w:bCs w:val="0"/>
          <w:szCs w:val="21"/>
          <w:u w:val="none"/>
        </w:rPr>
        <w:t>销售机构的信息披露渠道（包括但不限于销售机构的营业网点、门户网站、电子销售渠道等）</w:t>
      </w:r>
      <w:r>
        <w:rPr>
          <w:rFonts w:hint="eastAsia" w:ascii="楷体" w:hAnsi="楷体" w:eastAsia="楷体" w:cs="楷体"/>
          <w:b w:val="0"/>
          <w:bCs w:val="0"/>
          <w:szCs w:val="21"/>
          <w:u w:val="none"/>
          <w:lang w:val="en-US" w:eastAsia="zh-CN"/>
        </w:rPr>
        <w:t>进行</w:t>
      </w:r>
      <w:r>
        <w:rPr>
          <w:rFonts w:hint="eastAsia" w:ascii="楷体" w:hAnsi="楷体" w:eastAsia="楷体" w:cs="楷体"/>
          <w:b w:val="0"/>
          <w:bCs w:val="0"/>
          <w:szCs w:val="21"/>
          <w:u w:val="none"/>
        </w:rPr>
        <w:t>本理财</w:t>
      </w:r>
      <w:r>
        <w:rPr>
          <w:rFonts w:hint="eastAsia" w:ascii="楷体" w:hAnsi="楷体" w:eastAsia="楷体" w:cs="楷体"/>
          <w:b w:val="0"/>
          <w:bCs w:val="0"/>
          <w:szCs w:val="21"/>
          <w:u w:val="none"/>
          <w:lang w:val="en-US" w:eastAsia="zh-CN"/>
        </w:rPr>
        <w:t>产品</w:t>
      </w:r>
      <w:r>
        <w:rPr>
          <w:rFonts w:hint="eastAsia" w:ascii="楷体" w:hAnsi="楷体" w:eastAsia="楷体" w:cs="楷体"/>
          <w:b w:val="0"/>
          <w:bCs w:val="0"/>
          <w:szCs w:val="21"/>
          <w:u w:val="none"/>
        </w:rPr>
        <w:t>的信息披露。投资者应定期通过约定的相关渠道获知有关本理财产品相关信息。若因客户未及时通过前述方式查询相关信息，或由于通讯故障、系统故障、重大疫情或其他不可抗力等因素的影响，使得客户无法及时了解产品信息，不能及时了解理财产品的盈亏状况，并可能将丧失提前退出及再投资的机会，由此导致的风险和责任由客户自行承担。另外，客户预留在管理人的有效联系方式发生变更的，应及时通知管理人，如客户未及时告知管理人联系方式变更的，管理人将可能在需要时无法与客户及时取得联系，并可能会由此影响客户的投资决策，由此产生的责任和风险由客户自行承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（十一）不可抗力及意外事件风</w:t>
      </w:r>
      <w:r>
        <w:rPr>
          <w:rFonts w:hint="eastAsia" w:ascii="楷体" w:hAnsi="楷体" w:eastAsia="楷体" w:cs="楷体"/>
          <w:b/>
          <w:bCs/>
          <w:spacing w:val="20"/>
          <w:sz w:val="21"/>
          <w:szCs w:val="21"/>
          <w:u w:val="none"/>
        </w:rPr>
        <w:t>险</w:t>
      </w:r>
      <w:r>
        <w:rPr>
          <w:rFonts w:hint="eastAsia" w:ascii="楷体" w:hAnsi="楷体" w:eastAsia="楷体" w:cs="楷体"/>
          <w:b/>
          <w:bCs/>
          <w:spacing w:val="20"/>
          <w:sz w:val="21"/>
          <w:szCs w:val="21"/>
          <w:u w:val="none"/>
          <w:lang w:eastAsia="zh-CN"/>
        </w:rPr>
        <w:t>：</w:t>
      </w:r>
      <w:r>
        <w:rPr>
          <w:rFonts w:hint="eastAsia" w:ascii="楷体" w:hAnsi="楷体" w:eastAsia="楷体" w:cs="楷体"/>
          <w:b w:val="0"/>
          <w:bCs w:val="0"/>
          <w:szCs w:val="21"/>
          <w:u w:val="none"/>
        </w:rPr>
        <w:t>由于不可抗力及/或国家政策变化、IT系统故障、通讯系统故障、电力系统故障、金融危机、投资市场停止交易、重大疫情等非管理人所能控制的原因，可能对理财产品的产品成立、投资运作、资金返还、信息披露、公告通知造成影响，可能导致产品收益降低乃至本金遭受损失。对于由不可抗力及意外事件风险导致的损失，</w:t>
      </w:r>
      <w:r>
        <w:rPr>
          <w:rFonts w:hint="eastAsia" w:ascii="楷体" w:hAnsi="楷体" w:eastAsia="楷体" w:cs="楷体"/>
          <w:b/>
          <w:bCs/>
          <w:szCs w:val="21"/>
          <w:u w:val="none"/>
        </w:rPr>
        <w:t>投资者须自行承担，</w:t>
      </w:r>
      <w:r>
        <w:rPr>
          <w:rFonts w:hint="eastAsia" w:ascii="楷体" w:hAnsi="楷体" w:eastAsia="楷体" w:cs="楷体"/>
          <w:b w:val="0"/>
          <w:bCs w:val="0"/>
          <w:szCs w:val="21"/>
          <w:u w:val="none"/>
        </w:rPr>
        <w:t>管理人对此不承担责任。</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（十二）税收风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理财产品在资产管理、运营、处置过程中产生的收入，根据国家相关法律法规应缴纳增值税（含增值税附加税费，下同）及/或其他税费的，即使本产品管理人被税务机关认定为纳税义务人，该等增值税及/或其他税费仍属于应由理财产品承担的理财产品税费，由本产品管理人申报和缴纳。该等税款将直接从理财产品中扣付缴纳，本理财产品将因为前述增值税等税负承担导致计划税费支出增加、理财产品</w:t>
      </w:r>
      <w:r>
        <w:rPr>
          <w:rFonts w:hint="eastAsia" w:ascii="楷体" w:hAnsi="楷体" w:eastAsia="楷体" w:cs="楷体"/>
          <w:b w:val="0"/>
          <w:bCs w:val="0"/>
          <w:szCs w:val="21"/>
          <w:u w:val="none"/>
          <w:lang w:val="en-US" w:eastAsia="zh-CN"/>
        </w:rPr>
        <w:t>资产</w:t>
      </w:r>
      <w:r>
        <w:rPr>
          <w:rFonts w:hint="eastAsia" w:ascii="楷体" w:hAnsi="楷体" w:eastAsia="楷体" w:cs="楷体"/>
          <w:b w:val="0"/>
          <w:bCs w:val="0"/>
          <w:szCs w:val="21"/>
          <w:u w:val="none"/>
        </w:rPr>
        <w:t>净值或实际收益降低，从而降低产品投资人的收益水平。</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（十三）估值风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本理财产品按《产品说明书》的估值方法进行估值</w:t>
      </w:r>
      <w:r>
        <w:rPr>
          <w:rFonts w:hint="eastAsia" w:ascii="楷体" w:hAnsi="楷体" w:eastAsia="楷体" w:cs="楷体"/>
          <w:b w:val="0"/>
          <w:bCs w:val="0"/>
          <w:szCs w:val="21"/>
          <w:u w:val="none"/>
          <w:lang w:eastAsia="zh-CN"/>
        </w:rPr>
        <w:t>，</w:t>
      </w:r>
      <w:r>
        <w:rPr>
          <w:rFonts w:hint="eastAsia" w:ascii="楷体" w:hAnsi="楷体" w:eastAsia="楷体" w:cs="楷体"/>
          <w:b/>
          <w:bCs/>
          <w:szCs w:val="21"/>
          <w:u w:val="none"/>
        </w:rPr>
        <w:t>理财产品估值与实际变现价值可能发生偏离，投资者应知晓该风险。</w:t>
      </w:r>
      <w:r>
        <w:rPr>
          <w:rFonts w:hint="eastAsia" w:ascii="楷体" w:hAnsi="楷体" w:eastAsia="楷体" w:cs="楷体"/>
          <w:b w:val="0"/>
          <w:bCs w:val="0"/>
          <w:szCs w:val="21"/>
          <w:u w:val="none"/>
        </w:rPr>
        <w:t>管理人估值仅作为参考，管理人不承担第三方再次使用该估值引发的其他风险。</w:t>
      </w:r>
    </w:p>
    <w:p>
      <w:pPr>
        <w:snapToGrid w:val="0"/>
        <w:spacing w:line="360" w:lineRule="auto"/>
        <w:ind w:firstLine="422" w:firstLineChars="200"/>
        <w:rPr>
          <w:rFonts w:hint="eastAsia" w:ascii="楷体" w:hAnsi="楷体" w:eastAsia="楷体" w:cs="楷体"/>
          <w:sz w:val="21"/>
          <w:szCs w:val="21"/>
          <w:u w:val="none"/>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四</w:t>
      </w:r>
      <w:r>
        <w:rPr>
          <w:rFonts w:hint="eastAsia" w:ascii="楷体" w:hAnsi="楷体" w:eastAsia="楷体" w:cs="楷体"/>
          <w:b/>
          <w:bCs/>
          <w:szCs w:val="21"/>
          <w:u w:val="none"/>
        </w:rPr>
        <w:t>）</w:t>
      </w:r>
      <w:r>
        <w:rPr>
          <w:rFonts w:hint="eastAsia" w:ascii="楷体" w:hAnsi="楷体" w:eastAsia="楷体" w:cs="楷体"/>
          <w:b/>
          <w:bCs/>
          <w:szCs w:val="21"/>
          <w:u w:val="none"/>
          <w:lang w:val="en-US" w:eastAsia="zh-CN"/>
        </w:rPr>
        <w:t>代销</w:t>
      </w:r>
      <w:r>
        <w:rPr>
          <w:rFonts w:hint="eastAsia" w:ascii="楷体" w:hAnsi="楷体" w:eastAsia="楷体" w:cs="楷体"/>
          <w:b/>
          <w:bCs/>
          <w:szCs w:val="21"/>
          <w:u w:val="none"/>
        </w:rPr>
        <w:t>风</w:t>
      </w:r>
      <w:r>
        <w:rPr>
          <w:rFonts w:hint="eastAsia" w:ascii="楷体" w:hAnsi="楷体" w:eastAsia="楷体" w:cs="楷体"/>
          <w:b/>
          <w:bCs/>
          <w:spacing w:val="20"/>
          <w:sz w:val="21"/>
          <w:szCs w:val="21"/>
          <w:u w:val="none"/>
        </w:rPr>
        <w:t>险</w:t>
      </w:r>
      <w:r>
        <w:rPr>
          <w:rFonts w:hint="eastAsia" w:ascii="楷体" w:hAnsi="楷体" w:eastAsia="楷体" w:cs="楷体"/>
          <w:b/>
          <w:bCs/>
          <w:spacing w:val="20"/>
          <w:sz w:val="21"/>
          <w:szCs w:val="21"/>
          <w:u w:val="none"/>
          <w:lang w:eastAsia="zh-CN"/>
        </w:rPr>
        <w:t>：</w:t>
      </w:r>
      <w:r>
        <w:rPr>
          <w:rFonts w:hint="eastAsia" w:ascii="楷体" w:hAnsi="楷体" w:eastAsia="楷体" w:cs="楷体"/>
          <w:sz w:val="21"/>
          <w:szCs w:val="21"/>
          <w:u w:val="none"/>
        </w:rPr>
        <w:t>本理财产品若通过非产品管理人自有渠道进行销售的属于代理销售，认购/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五</w:t>
      </w:r>
      <w:r>
        <w:rPr>
          <w:rFonts w:hint="eastAsia" w:ascii="楷体" w:hAnsi="楷体" w:eastAsia="楷体" w:cs="楷体"/>
          <w:b/>
          <w:bCs/>
          <w:szCs w:val="21"/>
          <w:u w:val="none"/>
        </w:rPr>
        <w:t>）</w:t>
      </w:r>
      <w:r>
        <w:rPr>
          <w:rFonts w:hint="eastAsia" w:ascii="楷体" w:hAnsi="楷体" w:eastAsia="楷体" w:cs="楷体"/>
          <w:b/>
          <w:bCs/>
          <w:color w:val="auto"/>
          <w:szCs w:val="21"/>
          <w:highlight w:val="none"/>
          <w:u w:val="none"/>
          <w:lang w:val="en-US" w:eastAsia="zh-CN"/>
        </w:rPr>
        <w:t>不同理财产品份额类别存在差异的风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sz w:val="21"/>
          <w:szCs w:val="21"/>
          <w:u w:val="none"/>
        </w:rPr>
        <w:t>理财产品管理人可根据投资者购买理财产品的金额、</w:t>
      </w:r>
      <w:r>
        <w:rPr>
          <w:rFonts w:hint="eastAsia" w:ascii="楷体" w:hAnsi="楷体" w:eastAsia="楷体" w:cs="楷体"/>
          <w:sz w:val="21"/>
          <w:szCs w:val="21"/>
          <w:u w:val="none"/>
          <w:lang w:val="en-US" w:eastAsia="zh-CN"/>
        </w:rPr>
        <w:t>投资者类型、</w:t>
      </w:r>
      <w:r>
        <w:rPr>
          <w:rFonts w:hint="eastAsia" w:ascii="楷体" w:hAnsi="楷体" w:eastAsia="楷体" w:cs="楷体"/>
          <w:sz w:val="21"/>
          <w:szCs w:val="21"/>
          <w:u w:val="none"/>
        </w:rPr>
        <w:t>销售渠道等因素，对理财投资者所持有的理财产品设置不同理财产品份额类别。不同类别的理财产品份额</w:t>
      </w:r>
      <w:r>
        <w:rPr>
          <w:rFonts w:hint="eastAsia" w:ascii="楷体" w:hAnsi="楷体" w:eastAsia="楷体" w:cs="楷体"/>
          <w:sz w:val="21"/>
          <w:szCs w:val="21"/>
          <w:u w:val="none"/>
          <w:lang w:val="en-US" w:eastAsia="zh-CN"/>
        </w:rPr>
        <w:t>可能</w:t>
      </w:r>
      <w:r>
        <w:rPr>
          <w:rFonts w:hint="eastAsia" w:ascii="楷体" w:hAnsi="楷体" w:eastAsia="楷体" w:cs="楷体"/>
          <w:sz w:val="21"/>
          <w:szCs w:val="21"/>
          <w:u w:val="none"/>
        </w:rPr>
        <w:t>在</w:t>
      </w:r>
      <w:r>
        <w:rPr>
          <w:rFonts w:hint="eastAsia" w:ascii="楷体" w:hAnsi="楷体" w:eastAsia="楷体" w:cs="楷体"/>
          <w:sz w:val="21"/>
          <w:szCs w:val="21"/>
          <w:u w:val="none"/>
          <w:lang w:val="en-US" w:eastAsia="zh-CN"/>
        </w:rPr>
        <w:t>产品</w:t>
      </w:r>
      <w:r>
        <w:rPr>
          <w:rFonts w:hint="eastAsia" w:ascii="楷体" w:hAnsi="楷体" w:eastAsia="楷体" w:cs="楷体"/>
          <w:sz w:val="21"/>
          <w:szCs w:val="21"/>
          <w:u w:val="none"/>
        </w:rPr>
        <w:t>销售名称、销售代码、销售</w:t>
      </w:r>
      <w:r>
        <w:rPr>
          <w:rFonts w:hint="eastAsia" w:ascii="楷体" w:hAnsi="楷体" w:eastAsia="楷体" w:cs="楷体"/>
          <w:sz w:val="21"/>
          <w:szCs w:val="21"/>
          <w:u w:val="none"/>
          <w:lang w:val="en-US" w:eastAsia="zh-CN"/>
        </w:rPr>
        <w:t>机构</w:t>
      </w:r>
      <w:r>
        <w:rPr>
          <w:rFonts w:hint="eastAsia" w:ascii="楷体" w:hAnsi="楷体" w:eastAsia="楷体" w:cs="楷体"/>
          <w:sz w:val="21"/>
          <w:szCs w:val="21"/>
          <w:u w:val="none"/>
        </w:rPr>
        <w:t>、</w:t>
      </w:r>
      <w:r>
        <w:rPr>
          <w:rFonts w:hint="eastAsia" w:ascii="楷体" w:hAnsi="楷体" w:eastAsia="楷体" w:cs="楷体"/>
          <w:sz w:val="21"/>
          <w:szCs w:val="21"/>
          <w:u w:val="none"/>
          <w:lang w:val="en-US" w:eastAsia="zh-CN"/>
        </w:rPr>
        <w:t>发售对象、费率设置等</w:t>
      </w:r>
      <w:r>
        <w:rPr>
          <w:rFonts w:hint="eastAsia" w:ascii="楷体" w:hAnsi="楷体" w:eastAsia="楷体" w:cs="楷体"/>
          <w:sz w:val="21"/>
          <w:szCs w:val="21"/>
          <w:u w:val="none"/>
        </w:rPr>
        <w:t>方面存在差异。</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六</w:t>
      </w:r>
      <w:r>
        <w:rPr>
          <w:rFonts w:hint="eastAsia" w:ascii="楷体" w:hAnsi="楷体" w:eastAsia="楷体" w:cs="楷体"/>
          <w:b/>
          <w:bCs/>
          <w:szCs w:val="21"/>
          <w:u w:val="none"/>
        </w:rPr>
        <w:t>）《产品说明书》修改风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如出于维持产品正常运营的需要且在不实质损害投资者利益的前提下，或因国家法律法规、监管规定发生变化，管理人有权在法律法规、监管规定允许的范围内对《产品说明书》进行修订。管理人决定对《产品说明书》进行修订的，</w:t>
      </w:r>
      <w:bookmarkStart w:id="0" w:name="_Hlk99539335"/>
      <w:r>
        <w:rPr>
          <w:rFonts w:hint="eastAsia" w:ascii="楷体" w:hAnsi="楷体" w:eastAsia="楷体" w:cs="楷体"/>
          <w:b w:val="0"/>
          <w:bCs w:val="0"/>
          <w:szCs w:val="21"/>
          <w:u w:val="none"/>
        </w:rPr>
        <w:t>将提前</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个工作日根据</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“信息披露”约定的信息披露方式进行公告。</w:t>
      </w:r>
      <w:bookmarkEnd w:id="0"/>
      <w:r>
        <w:rPr>
          <w:rFonts w:hint="eastAsia" w:ascii="楷体" w:hAnsi="楷体" w:eastAsia="楷体" w:cs="楷体"/>
          <w:b w:val="0"/>
          <w:bCs w:val="0"/>
          <w:szCs w:val="21"/>
          <w:u w:val="none"/>
        </w:rPr>
        <w:t>其中，对于投资者利益产生实质影响的事项（如对投资范围、投资品种、投资比例进行调整等），客户如对补充或修改后的</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有异议，可在公告相应内容的业务调整生效前赎回本理财产品（此种情况下管理人将可能开放特殊赎回期间，具体以届时管理人的公告为准），</w:t>
      </w:r>
      <w:r>
        <w:rPr>
          <w:rFonts w:hint="eastAsia" w:ascii="楷体" w:hAnsi="楷体" w:eastAsia="楷体" w:cs="楷体"/>
          <w:b/>
          <w:bCs/>
          <w:szCs w:val="21"/>
          <w:u w:val="none"/>
        </w:rPr>
        <w:t>逾期未赎回的视为同意。</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rPr>
        <w:t>（十</w:t>
      </w:r>
      <w:r>
        <w:rPr>
          <w:rFonts w:hint="eastAsia" w:ascii="楷体" w:hAnsi="楷体" w:eastAsia="楷体" w:cs="楷体"/>
          <w:b/>
          <w:bCs/>
          <w:szCs w:val="21"/>
          <w:u w:val="none"/>
          <w:lang w:val="en-US" w:eastAsia="zh-CN"/>
        </w:rPr>
        <w:t>七</w:t>
      </w:r>
      <w:r>
        <w:rPr>
          <w:rFonts w:hint="eastAsia" w:ascii="楷体" w:hAnsi="楷体" w:eastAsia="楷体" w:cs="楷体"/>
          <w:b/>
          <w:bCs/>
          <w:szCs w:val="21"/>
          <w:u w:val="none"/>
        </w:rPr>
        <w:t>）设置建仓期的风</w:t>
      </w:r>
      <w:r>
        <w:rPr>
          <w:rFonts w:hint="eastAsia" w:ascii="楷体" w:hAnsi="楷体" w:eastAsia="楷体" w:cs="楷体"/>
          <w:b/>
          <w:bCs/>
          <w:spacing w:val="20"/>
          <w:sz w:val="21"/>
          <w:szCs w:val="21"/>
          <w:u w:val="none"/>
        </w:rPr>
        <w:t>险：</w:t>
      </w:r>
      <w:r>
        <w:rPr>
          <w:rFonts w:hint="eastAsia" w:ascii="楷体" w:hAnsi="楷体" w:eastAsia="楷体" w:cs="楷体"/>
          <w:b w:val="0"/>
          <w:bCs w:val="0"/>
          <w:szCs w:val="21"/>
          <w:u w:val="none"/>
        </w:rPr>
        <w:t>本理财产品可能设立建仓期机制，建仓期具体安排详见《产品说明书》。在前述建仓期内，本理财产品的投资比例可能无法满足本理财产品约定的投资比例限制，从而可能对本理财产品的投资收益产生相应影响。</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u w:val="none"/>
          <w:lang w:eastAsia="zh-CN"/>
        </w:rPr>
        <w:t>（</w:t>
      </w:r>
      <w:r>
        <w:rPr>
          <w:rFonts w:hint="eastAsia" w:ascii="楷体" w:hAnsi="楷体" w:eastAsia="楷体" w:cs="楷体"/>
          <w:b/>
          <w:bCs/>
          <w:szCs w:val="21"/>
          <w:u w:val="none"/>
          <w:lang w:val="en-US" w:eastAsia="zh-CN"/>
        </w:rPr>
        <w:t>十八）特定投资标的风险</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u w:val="none"/>
          <w:lang w:val="en-US" w:eastAsia="zh-CN"/>
        </w:rPr>
        <w:t>1.货币市场工具投资风</w:t>
      </w:r>
      <w:r>
        <w:rPr>
          <w:rFonts w:hint="eastAsia" w:ascii="楷体" w:hAnsi="楷体" w:eastAsia="楷体" w:cs="楷体"/>
          <w:b/>
          <w:bCs/>
          <w:spacing w:val="20"/>
          <w:sz w:val="21"/>
          <w:szCs w:val="21"/>
          <w:u w:val="none"/>
          <w:lang w:val="en-US" w:eastAsia="zh-CN"/>
        </w:rPr>
        <w:t>险：</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（1）本理财产品作为资金借出方参与货币市场工具交易时，交易对手可能无法及时偿还全部或部分本金和/或收益，导致理财产品收益下降甚至本金损失。</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（2）本理财产品作为资金借入方参与货币市场工具交易时，交易利率可能大于债券投资收益，进而导致理财产品收益下降甚至本金损失。</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（3）本理财产品作为资金借入方参与货币市场工具交易，将增大产品投资总量，放大投资组合风险。资金借入比例越高，风险暴露程度越高，理财产品收益下降甚至本金损失的可能性越大。</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2．标准化债权资产投资风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b w:val="0"/>
          <w:bCs w:val="0"/>
          <w:szCs w:val="21"/>
          <w:u w:val="none"/>
          <w:lang w:val="en-US" w:eastAsia="zh-CN"/>
        </w:rPr>
        <w:t>国家政策、经济周期、利率、汇率等因素可能发生的变化导致的市场风险；债券发行人的经营状况、信用质量降低、或资产支持证券项下的基础资产现金流未能及时完整取得等可能发生的变化导致的信用风险；非公开定向债务融资工具、非公开发行公司债可能的流通和转让限制导致的流动性风险等。</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3.权益类资产投资风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b w:val="0"/>
          <w:bCs w:val="0"/>
          <w:szCs w:val="21"/>
          <w:u w:val="none"/>
          <w:lang w:val="en-US" w:eastAsia="zh-CN"/>
        </w:rPr>
        <w:t>股票市场波动会影响本理财产品所投资的股票价格，如股票市场下跌将导致本理财产品投资的股票价格下跌，进而导致本理财产品收益下降甚至本金损失。上市公司可能由于经济周期、行业竞争、市场前景、管理能力、盈利模式、财务状况等变化发生经营不善，甚至可能发生盈利增速不及预期、净利润由盈转亏、破产清算、被兼并收购、违反监管规定等状况，可能导致股票的价格下跌，甚至导致无法立刻卖出或因上市公司违反相关规定而导致退市，从而使理财产品收益下降甚至本金损失。股票定向增发、上市公司优先股等可能的流通和转让限制导致的流动性风险等。</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u w:val="none"/>
          <w:lang w:val="en-US" w:eastAsia="zh-CN"/>
        </w:rPr>
        <w:t>4.商品和金融衍生品类资产投资风险</w:t>
      </w:r>
    </w:p>
    <w:p>
      <w:pPr>
        <w:snapToGrid w:val="0"/>
        <w:spacing w:line="360" w:lineRule="auto"/>
        <w:ind w:firstLine="420" w:firstLineChars="20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本理财产品的投资范围包括商品和金融衍生品类资产，该类资产的投资可能面临市场风险、基差风险、流动性风险、政策风险和交易对手不能履约等风险，在最不利的情况下，可能会损失投资该衍生品对应的部分甚至全部本金：（1）市场风险是因衍生金融工具市场价格波动使所持有的衍生品合约价值发生变化的风险；（2）基差风险是期货市场的特有风险之一，是指由于期货与现货间的价差波动，影响套期保值效果，使之发生意外损益的风险；（3）流动性风险是在期货市场成交不活跃时，可能在建仓和平仓期货时面临交易价格或者交易数量上的风险；（4）熔断、提早闭市、标的停牌、标的涨跌停等极端情况下，可能导致场内外期权无法及时平仓，进而影响本理财产品的变现及兑付时间。</w:t>
      </w:r>
    </w:p>
    <w:p>
      <w:pPr>
        <w:snapToGrid w:val="0"/>
        <w:spacing w:line="360" w:lineRule="auto"/>
        <w:ind w:firstLine="422" w:firstLineChars="200"/>
        <w:rPr>
          <w:rFonts w:hint="eastAsia"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5.资产管理产品投资风</w:t>
      </w:r>
      <w:r>
        <w:rPr>
          <w:rFonts w:hint="eastAsia" w:ascii="楷体" w:hAnsi="楷体" w:eastAsia="楷体" w:cs="楷体"/>
          <w:b/>
          <w:bCs/>
          <w:spacing w:val="20"/>
          <w:sz w:val="21"/>
          <w:szCs w:val="21"/>
          <w:u w:val="none"/>
          <w:lang w:val="en-US" w:eastAsia="zh-CN"/>
        </w:rPr>
        <w:t>险：</w:t>
      </w:r>
      <w:r>
        <w:rPr>
          <w:rFonts w:hint="eastAsia" w:ascii="楷体" w:hAnsi="楷体" w:eastAsia="楷体" w:cs="楷体"/>
          <w:b w:val="0"/>
          <w:bCs w:val="0"/>
          <w:szCs w:val="21"/>
          <w:u w:val="none"/>
          <w:lang w:val="en-US" w:eastAsia="zh-CN"/>
        </w:rPr>
        <w:t>本理财产品投资其他资产管理产品，或通过其他资产管理产品投资时，可能因相关受托人违反法律法规和/或合同约定、未尽职或发生其他情形，造成本理财产品所投资的资产管理产品的财产损失，进而导致本理财产品收益下降甚至本金损失。</w:t>
      </w:r>
    </w:p>
    <w:p>
      <w:pPr>
        <w:snapToGrid w:val="0"/>
        <w:spacing w:line="360" w:lineRule="auto"/>
        <w:ind w:firstLine="422" w:firstLineChars="200"/>
        <w:outlineLvl w:val="0"/>
        <w:rPr>
          <w:rFonts w:hint="eastAsia" w:ascii="楷体" w:hAnsi="楷体" w:eastAsia="楷体" w:cs="楷体"/>
          <w:b/>
          <w:bCs/>
          <w:szCs w:val="21"/>
          <w:u w:val="none"/>
        </w:rPr>
      </w:pPr>
      <w:r>
        <w:rPr>
          <w:rFonts w:hint="eastAsia" w:ascii="楷体" w:hAnsi="楷体" w:eastAsia="楷体" w:cs="楷体"/>
          <w:b/>
          <w:bCs/>
          <w:szCs w:val="21"/>
          <w:u w:val="none"/>
        </w:rPr>
        <w:t>二、客户提示</w:t>
      </w:r>
    </w:p>
    <w:p>
      <w:pPr>
        <w:snapToGrid w:val="0"/>
        <w:spacing w:line="360" w:lineRule="auto"/>
        <w:ind w:firstLine="413" w:firstLineChars="196"/>
        <w:rPr>
          <w:rFonts w:hint="eastAsia" w:ascii="楷体" w:hAnsi="楷体" w:eastAsia="楷体" w:cs="楷体"/>
          <w:b/>
          <w:bCs/>
          <w:color w:val="C00000"/>
          <w:szCs w:val="21"/>
          <w:u w:val="none"/>
        </w:rPr>
      </w:pPr>
      <w:r>
        <w:rPr>
          <w:rFonts w:hint="eastAsia" w:ascii="楷体" w:hAnsi="楷体" w:eastAsia="楷体" w:cs="楷体"/>
          <w:b/>
          <w:bCs/>
          <w:color w:val="C00000"/>
          <w:szCs w:val="21"/>
          <w:u w:val="none"/>
        </w:rPr>
        <w:t>（一）理财非存款、产品有风险、投资须谨慎。</w:t>
      </w: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（二）</w:t>
      </w:r>
      <w:r>
        <w:rPr>
          <w:rFonts w:hint="eastAsia" w:ascii="楷体" w:hAnsi="楷体" w:eastAsia="楷体" w:cs="楷体"/>
          <w:b/>
          <w:bCs/>
          <w:color w:val="000000"/>
          <w:kern w:val="0"/>
          <w:szCs w:val="21"/>
          <w:u w:val="none"/>
        </w:rPr>
        <w:t>理财产品过往业绩不代表其未来表现，不等于理财产品实际收益。</w:t>
      </w:r>
    </w:p>
    <w:p>
      <w:pPr>
        <w:snapToGrid w:val="0"/>
        <w:spacing w:line="360" w:lineRule="auto"/>
        <w:ind w:firstLine="411" w:firstLineChars="196"/>
        <w:rPr>
          <w:rFonts w:hint="eastAsia" w:ascii="楷体" w:hAnsi="楷体" w:eastAsia="楷体" w:cs="楷体"/>
          <w:b w:val="0"/>
          <w:bCs w:val="0"/>
          <w:szCs w:val="21"/>
          <w:u w:val="none"/>
        </w:rPr>
      </w:pPr>
      <w:r>
        <w:rPr>
          <w:rFonts w:hint="eastAsia" w:ascii="楷体" w:hAnsi="楷体" w:eastAsia="楷体" w:cs="楷体"/>
          <w:b w:val="0"/>
          <w:bCs w:val="0"/>
          <w:szCs w:val="21"/>
          <w:u w:val="none"/>
        </w:rPr>
        <w:t>（三）请您在购买本理财产品前仔细阅读本理财产品</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风险揭示书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及</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销售</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代理销售</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协议书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投资协议书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和</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投资者</w:t>
      </w:r>
      <w:r>
        <w:rPr>
          <w:rFonts w:hint="eastAsia" w:ascii="楷体" w:hAnsi="楷体" w:eastAsia="楷体" w:cs="楷体"/>
          <w:b w:val="0"/>
          <w:bCs w:val="0"/>
          <w:szCs w:val="21"/>
          <w:u w:val="none"/>
        </w:rPr>
        <w:t>权益须知</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的全部内容，同时向上银理财有限责任公司（以下简称“管理人”）或销售机构了解本理财产品的其它相关信息，详细了解产品的具体情况，并独立作出是否购买本理财产品的决定。</w:t>
      </w:r>
    </w:p>
    <w:p>
      <w:pPr>
        <w:snapToGrid w:val="0"/>
        <w:spacing w:line="360" w:lineRule="auto"/>
        <w:ind w:firstLine="413" w:firstLineChars="196"/>
        <w:rPr>
          <w:rFonts w:hint="eastAsia" w:ascii="楷体" w:hAnsi="楷体" w:eastAsia="楷体" w:cs="楷体"/>
          <w:b/>
          <w:bCs/>
          <w:szCs w:val="21"/>
          <w:highlight w:val="none"/>
          <w:u w:val="none"/>
        </w:rPr>
      </w:pPr>
      <w:r>
        <w:rPr>
          <w:rFonts w:hint="eastAsia" w:ascii="楷体" w:hAnsi="楷体" w:eastAsia="楷体" w:cs="楷体"/>
          <w:b/>
          <w:bCs/>
          <w:szCs w:val="21"/>
          <w:u w:val="none"/>
        </w:rPr>
        <w:t>（四）请您在购买本理财产品前进行客户风险承受能力评估，如影响您风险承受能力的因素发生变化，请及</w:t>
      </w:r>
      <w:r>
        <w:rPr>
          <w:rFonts w:hint="eastAsia" w:ascii="楷体" w:hAnsi="楷体" w:eastAsia="楷体" w:cs="楷体"/>
          <w:b/>
          <w:bCs/>
          <w:szCs w:val="21"/>
          <w:highlight w:val="none"/>
          <w:u w:val="none"/>
        </w:rPr>
        <w:t>时重新完成风险承受能力评估。</w:t>
      </w:r>
    </w:p>
    <w:p>
      <w:pPr>
        <w:snapToGrid w:val="0"/>
        <w:spacing w:line="360" w:lineRule="auto"/>
        <w:ind w:firstLine="413" w:firstLineChars="196"/>
        <w:rPr>
          <w:rFonts w:hint="eastAsia" w:ascii="楷体" w:hAnsi="楷体" w:eastAsia="楷体" w:cs="楷体"/>
          <w:b/>
          <w:bCs/>
          <w:szCs w:val="21"/>
          <w:highlight w:val="none"/>
          <w:u w:val="none"/>
        </w:rPr>
      </w:pPr>
      <w:r>
        <w:rPr>
          <w:rFonts w:hint="eastAsia" w:ascii="楷体" w:hAnsi="楷体" w:eastAsia="楷体" w:cs="楷体"/>
          <w:b/>
          <w:bCs/>
          <w:szCs w:val="21"/>
          <w:highlight w:val="none"/>
          <w:u w:val="none"/>
        </w:rPr>
        <w:t>（五）本理财产品为</w:t>
      </w:r>
      <w:r>
        <w:rPr>
          <w:rFonts w:hint="eastAsia" w:ascii="楷体" w:hAnsi="楷体" w:eastAsia="楷体" w:cs="楷体"/>
          <w:b/>
          <w:bCs/>
          <w:color w:val="auto"/>
          <w:szCs w:val="21"/>
          <w:highlight w:val="none"/>
          <w:u w:val="none"/>
        </w:rPr>
        <w:t>固定收益类</w:t>
      </w:r>
      <w:r>
        <w:rPr>
          <w:rFonts w:hint="eastAsia" w:ascii="楷体" w:hAnsi="楷体" w:eastAsia="楷体" w:cs="楷体"/>
          <w:b/>
          <w:bCs/>
          <w:szCs w:val="21"/>
          <w:highlight w:val="none"/>
          <w:u w:val="none"/>
        </w:rPr>
        <w:t>理财产品，</w:t>
      </w:r>
      <w:r>
        <w:rPr>
          <w:rFonts w:hint="eastAsia" w:ascii="楷体" w:hAnsi="楷体" w:eastAsia="楷体" w:cs="楷体"/>
          <w:b/>
          <w:bCs/>
          <w:color w:val="auto"/>
          <w:szCs w:val="21"/>
          <w:highlight w:val="none"/>
          <w:u w:val="none"/>
          <w:lang w:val="en-US" w:eastAsia="zh-CN"/>
        </w:rPr>
        <w:t>产品</w:t>
      </w:r>
      <w:r>
        <w:rPr>
          <w:rFonts w:hint="eastAsia" w:ascii="楷体" w:hAnsi="楷体" w:eastAsia="楷体" w:cs="楷体"/>
          <w:b/>
          <w:bCs/>
          <w:color w:val="auto"/>
          <w:szCs w:val="21"/>
          <w:highlight w:val="none"/>
          <w:u w:val="none"/>
        </w:rPr>
        <w:t>期限为</w:t>
      </w:r>
      <w:r>
        <w:rPr>
          <w:rFonts w:hint="eastAsia" w:ascii="楷体" w:hAnsi="楷体" w:eastAsia="楷体" w:cs="楷体"/>
          <w:b/>
          <w:bCs/>
          <w:color w:val="auto"/>
          <w:szCs w:val="21"/>
          <w:highlight w:val="none"/>
          <w:u w:val="none"/>
          <w:lang w:eastAsia="zh-CN"/>
        </w:rPr>
        <w:t>【30.1年】</w:t>
      </w:r>
      <w:r>
        <w:rPr>
          <w:rFonts w:hint="eastAsia" w:ascii="楷体" w:hAnsi="楷体" w:eastAsia="楷体" w:cs="楷体"/>
          <w:b/>
          <w:bCs/>
          <w:color w:val="auto"/>
          <w:szCs w:val="21"/>
          <w:highlight w:val="none"/>
          <w:u w:val="none"/>
        </w:rPr>
        <w:t>（实际</w:t>
      </w:r>
      <w:r>
        <w:rPr>
          <w:rFonts w:hint="eastAsia" w:ascii="楷体" w:hAnsi="楷体" w:eastAsia="楷体" w:cs="楷体"/>
          <w:b/>
          <w:bCs/>
          <w:szCs w:val="21"/>
          <w:highlight w:val="none"/>
          <w:u w:val="none"/>
        </w:rPr>
        <w:t>产品期限将受限于管理人提前终止条款，详见</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产品说明书</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）。本产品的产品风险评级为</w:t>
      </w:r>
      <w:r>
        <w:rPr>
          <w:rFonts w:hint="eastAsia" w:ascii="楷体" w:hAnsi="楷体" w:eastAsia="楷体" w:cs="楷体"/>
          <w:b/>
          <w:bCs/>
          <w:color w:val="C00000"/>
          <w:szCs w:val="21"/>
          <w:highlight w:val="none"/>
          <w:u w:val="none"/>
        </w:rPr>
        <w:t>中低风险（二级风险）</w:t>
      </w:r>
      <w:r>
        <w:rPr>
          <w:rFonts w:hint="eastAsia" w:ascii="楷体" w:hAnsi="楷体" w:eastAsia="楷体" w:cs="楷体"/>
          <w:b/>
          <w:bCs/>
          <w:szCs w:val="21"/>
          <w:highlight w:val="none"/>
          <w:u w:val="none"/>
        </w:rPr>
        <w:t>，本评级为上银理财内部评级，仅供参考，评级分类参见</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产品说明书</w:t>
      </w:r>
      <w:r>
        <w:rPr>
          <w:rFonts w:hint="eastAsia" w:ascii="楷体" w:hAnsi="楷体" w:eastAsia="楷体" w:cs="楷体"/>
          <w:b/>
          <w:bCs/>
          <w:szCs w:val="21"/>
          <w:highlight w:val="none"/>
          <w:u w:val="none"/>
          <w:lang w:eastAsia="zh-CN"/>
        </w:rPr>
        <w:t>》。对于在本公司直销渠道购买的产品，产品评级以本公司的评级结果为准。</w:t>
      </w:r>
      <w:r>
        <w:rPr>
          <w:rFonts w:hint="eastAsia" w:ascii="楷体" w:hAnsi="楷体" w:eastAsia="楷体" w:cs="楷体"/>
          <w:b/>
          <w:bCs/>
          <w:szCs w:val="21"/>
          <w:highlight w:val="none"/>
          <w:u w:val="none"/>
          <w:lang w:val="en-US" w:eastAsia="zh-CN"/>
        </w:rPr>
        <w:t>产品</w:t>
      </w:r>
      <w:r>
        <w:rPr>
          <w:rFonts w:hint="eastAsia" w:ascii="楷体" w:hAnsi="楷体" w:eastAsia="楷体" w:cs="楷体"/>
          <w:b/>
          <w:bCs/>
          <w:szCs w:val="21"/>
          <w:highlight w:val="none"/>
          <w:u w:val="none"/>
        </w:rPr>
        <w:t>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napToGrid w:val="0"/>
        <w:spacing w:line="360" w:lineRule="auto"/>
        <w:ind w:firstLine="411" w:firstLineChars="196"/>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rPr>
        <w:t>本产品适合</w:t>
      </w:r>
      <w:r>
        <w:rPr>
          <w:rFonts w:hint="eastAsia" w:ascii="楷体" w:hAnsi="楷体" w:eastAsia="楷体" w:cs="楷体"/>
          <w:b w:val="0"/>
          <w:bCs w:val="0"/>
          <w:szCs w:val="21"/>
          <w:highlight w:val="none"/>
          <w:u w:val="none"/>
          <w:lang w:val="en-US" w:eastAsia="zh-CN"/>
        </w:rPr>
        <w:t>以下类型投资者：</w:t>
      </w:r>
    </w:p>
    <w:p>
      <w:pPr>
        <w:ind w:left="420" w:firstLine="420" w:firstLineChars="0"/>
        <w:rPr>
          <w:rFonts w:hint="eastAsia" w:ascii="楷体" w:hAnsi="楷体" w:eastAsia="楷体" w:cs="楷体"/>
          <w:b w:val="0"/>
          <w:bCs w:val="0"/>
          <w:color w:val="auto"/>
          <w:u w:val="none"/>
          <w:lang w:val="en-US" w:eastAsia="zh-CN"/>
        </w:rPr>
      </w:pPr>
      <w:bookmarkStart w:id="1" w:name="特殊字符1"/>
      <w:r>
        <w:rPr>
          <w:rFonts w:hint="eastAsia" w:ascii="Wingdings 2" w:hAnsi="Wingdings 2" w:eastAsia="Wingdings 2" w:cs="Wingdings 2"/>
          <w:b w:val="0"/>
          <w:bCs w:val="0"/>
          <w:color w:val="auto"/>
          <w:u w:val="none"/>
          <w:lang w:val="en-US" w:eastAsia="zh-CN"/>
        </w:rPr>
        <w:t>R</w:t>
      </w:r>
      <w:bookmarkEnd w:id="1"/>
      <w:r>
        <w:rPr>
          <w:rFonts w:hint="eastAsia" w:ascii="楷体" w:hAnsi="楷体" w:eastAsia="楷体" w:cs="楷体"/>
          <w:b w:val="0"/>
          <w:bCs w:val="0"/>
          <w:color w:val="auto"/>
          <w:u w:val="none"/>
          <w:lang w:val="en-US" w:eastAsia="zh-CN"/>
        </w:rPr>
        <w:t>【个人投资者】【（客户风险承受能力评级为稳健型,平衡型,成长型,进取型）】</w:t>
      </w:r>
    </w:p>
    <w:p>
      <w:pPr>
        <w:ind w:firstLine="840" w:firstLineChars="400"/>
        <w:rPr>
          <w:rFonts w:hint="eastAsia" w:ascii="楷体" w:hAnsi="楷体" w:eastAsia="楷体" w:cs="楷体"/>
        </w:rPr>
      </w:pPr>
      <w:bookmarkStart w:id="2" w:name="特殊字符2"/>
      <w:r>
        <w:rPr>
          <w:rFonts w:hint="eastAsia" w:ascii="Wingdings 2" w:hAnsi="Wingdings 2" w:eastAsia="Wingdings 2" w:cs="Wingdings 2"/>
          <w:b w:val="0"/>
          <w:bCs w:val="0"/>
          <w:color w:val="auto"/>
          <w:u w:val="none"/>
          <w:lang w:val="en-US" w:eastAsia="zh-CN"/>
        </w:rPr>
        <w:t>R</w:t>
      </w:r>
      <w:bookmarkEnd w:id="2"/>
      <w:r>
        <w:rPr>
          <w:rFonts w:hint="eastAsia" w:ascii="楷体" w:hAnsi="楷体" w:eastAsia="楷体" w:cs="楷体"/>
          <w:b w:val="0"/>
          <w:bCs w:val="0"/>
          <w:color w:val="auto"/>
          <w:u w:val="none"/>
          <w:lang w:val="en-US" w:eastAsia="zh-CN"/>
        </w:rPr>
        <w:t>【机构投资者】</w:t>
      </w:r>
    </w:p>
    <w:p>
      <w:pPr>
        <w:snapToGrid w:val="0"/>
        <w:spacing w:line="360" w:lineRule="auto"/>
        <w:ind w:firstLine="422" w:firstLineChars="200"/>
        <w:rPr>
          <w:rFonts w:hint="eastAsia" w:ascii="楷体" w:hAnsi="楷体" w:eastAsia="楷体" w:cs="楷体"/>
          <w:b/>
          <w:bCs/>
          <w:color w:val="auto"/>
          <w:szCs w:val="21"/>
          <w:u w:val="none"/>
        </w:rPr>
      </w:pPr>
      <w:r>
        <w:rPr>
          <w:rFonts w:hint="eastAsia" w:ascii="楷体" w:hAnsi="楷体" w:eastAsia="楷体" w:cs="楷体"/>
          <w:b/>
          <w:bCs/>
          <w:color w:val="auto"/>
          <w:szCs w:val="21"/>
          <w:highlight w:val="none"/>
          <w:u w:val="none"/>
        </w:rPr>
        <w:t>（六）本理财产品为</w:t>
      </w:r>
      <w:r>
        <w:rPr>
          <w:rFonts w:hint="eastAsia" w:ascii="楷体" w:hAnsi="楷体" w:eastAsia="楷体" w:cs="楷体"/>
          <w:b/>
          <w:bCs/>
          <w:color w:val="C00000"/>
          <w:szCs w:val="21"/>
          <w:highlight w:val="none"/>
          <w:u w:val="none"/>
        </w:rPr>
        <w:t>非保本浮动收益型</w:t>
      </w:r>
      <w:r>
        <w:rPr>
          <w:rFonts w:hint="eastAsia" w:ascii="楷体" w:hAnsi="楷体" w:eastAsia="楷体" w:cs="楷体"/>
          <w:b/>
          <w:bCs/>
          <w:color w:val="auto"/>
          <w:szCs w:val="21"/>
          <w:highlight w:val="none"/>
          <w:u w:val="none"/>
        </w:rPr>
        <w:t>理财产品，不保证本金和收益，您的本金可能会因市场变动及上述风险因素而蒙受损失，您应充分认识投资风险，谨慎投资</w:t>
      </w:r>
      <w:r>
        <w:rPr>
          <w:rFonts w:hint="eastAsia" w:ascii="楷体" w:hAnsi="楷体" w:eastAsia="楷体" w:cs="楷体"/>
          <w:b/>
          <w:bCs/>
          <w:color w:val="auto"/>
          <w:szCs w:val="21"/>
          <w:u w:val="none"/>
        </w:rPr>
        <w:t>。</w:t>
      </w:r>
    </w:p>
    <w:p>
      <w:pPr>
        <w:snapToGrid w:val="0"/>
        <w:spacing w:line="360" w:lineRule="auto"/>
        <w:ind w:firstLine="422" w:firstLineChars="200"/>
        <w:rPr>
          <w:rFonts w:hint="eastAsia" w:ascii="楷体" w:hAnsi="楷体" w:eastAsia="楷体" w:cs="楷体"/>
          <w:b/>
          <w:bCs/>
          <w:color w:val="000000"/>
          <w:kern w:val="0"/>
          <w:u w:val="none"/>
        </w:rPr>
      </w:pPr>
      <w:bookmarkStart w:id="3" w:name="OLE_LINK2"/>
      <w:r>
        <w:rPr>
          <w:rFonts w:hint="eastAsia" w:ascii="楷体" w:hAnsi="楷体" w:eastAsia="楷体" w:cs="楷体"/>
          <w:b/>
          <w:bCs/>
          <w:color w:val="auto"/>
          <w:kern w:val="0"/>
          <w:szCs w:val="21"/>
          <w:u w:val="none"/>
        </w:rPr>
        <w:t>（七）</w:t>
      </w:r>
      <w:bookmarkEnd w:id="3"/>
      <w:r>
        <w:rPr>
          <w:rFonts w:hint="eastAsia" w:ascii="楷体" w:hAnsi="楷体" w:eastAsia="楷体" w:cs="楷体"/>
          <w:b/>
          <w:bCs/>
          <w:color w:val="auto"/>
          <w:kern w:val="0"/>
          <w:szCs w:val="21"/>
          <w:u w:val="none"/>
        </w:rPr>
        <w:t>产品管理人在此特别披</w:t>
      </w:r>
      <w:r>
        <w:rPr>
          <w:rFonts w:hint="eastAsia" w:ascii="楷体" w:hAnsi="楷体" w:eastAsia="楷体" w:cs="楷体"/>
          <w:b/>
          <w:bCs/>
          <w:spacing w:val="23"/>
          <w:sz w:val="21"/>
          <w:szCs w:val="21"/>
          <w:u w:val="none"/>
        </w:rPr>
        <w:t>露：</w:t>
      </w:r>
      <w:r>
        <w:rPr>
          <w:rFonts w:hint="eastAsia" w:ascii="楷体" w:hAnsi="楷体" w:eastAsia="楷体" w:cs="楷体"/>
          <w:b/>
          <w:bCs/>
          <w:color w:val="auto"/>
          <w:szCs w:val="21"/>
          <w:u w:val="none"/>
          <w:lang w:val="en-US" w:eastAsia="zh-CN"/>
        </w:rPr>
        <w:t>【管理人委托上海银行股份有限公司（以下简称“上海银行”）作为本产品的托管机构。管理人系由上海银行设立的全资理财子公司，因此，上海银行属于管理人的关联方。尽管管理人将严格遵守法律、行政法规和金融监管部门的规定对关联交易进行审批、备案并进行充分披露，不会以本理财产品与关联方进行不正当交易、利益输送等违反相关监管规定的行为，以尽力降低关联交易风险，但仍存在无法完全排除关联交易可能导致的不利影响和投资风险。】</w:t>
      </w:r>
    </w:p>
    <w:p>
      <w:pPr>
        <w:snapToGrid w:val="0"/>
        <w:spacing w:line="360" w:lineRule="auto"/>
        <w:ind w:firstLine="420" w:firstLineChars="200"/>
        <w:rPr>
          <w:rFonts w:hint="eastAsia" w:ascii="楷体" w:hAnsi="楷体" w:eastAsia="楷体" w:cs="楷体"/>
          <w:b w:val="0"/>
          <w:bCs w:val="0"/>
          <w:color w:val="000000"/>
          <w:kern w:val="0"/>
          <w:szCs w:val="21"/>
          <w:u w:val="none"/>
        </w:rPr>
      </w:pPr>
      <w:r>
        <w:rPr>
          <w:rFonts w:hint="eastAsia" w:ascii="楷体" w:hAnsi="楷体" w:eastAsia="楷体" w:cs="楷体"/>
          <w:b w:val="0"/>
          <w:bCs w:val="0"/>
          <w:color w:val="000000"/>
          <w:kern w:val="0"/>
          <w:szCs w:val="21"/>
          <w:u w:val="none"/>
        </w:rPr>
        <w:t>（八）在购买本理财产品后，请您随时关注本理财产品的信息披露情况，及时获取相关信息。</w:t>
      </w: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九）本《风险揭示书》及相应《投资协议书》、《产品说明书》将共同构成贵我双方理财合同的有效组成部分，本《风险揭示书》中用语的定义与《产品说明书》中的用语定义一致。投资者签署上述合同文本并将资金委托给上银理财运作是投资者真实的意思表示，投资者已知悉并理解理财产品的全部风险，并自愿承担由此带来的一切后果。在您签署本理财产品相关协议前，请仔细阅读上述文件，并向管理人或销售机构了解理财产品具体情况，独立作出认购/申购决定。</w:t>
      </w:r>
    </w:p>
    <w:p>
      <w:pPr>
        <w:snapToGrid w:val="0"/>
        <w:spacing w:line="360" w:lineRule="auto"/>
        <w:ind w:firstLine="413" w:firstLineChars="196"/>
        <w:outlineLvl w:val="0"/>
        <w:rPr>
          <w:rFonts w:hint="eastAsia" w:ascii="楷体" w:hAnsi="楷体" w:eastAsia="楷体" w:cs="楷体"/>
          <w:b/>
          <w:bCs/>
          <w:szCs w:val="21"/>
          <w:u w:val="none"/>
        </w:rPr>
      </w:pPr>
      <w:r>
        <w:rPr>
          <w:rFonts w:hint="eastAsia" w:ascii="楷体" w:hAnsi="楷体" w:eastAsia="楷体" w:cs="楷体"/>
          <w:b/>
          <w:bCs/>
          <w:szCs w:val="21"/>
          <w:u w:val="none"/>
        </w:rPr>
        <w:t>三、最不利投资情形下风险示例</w:t>
      </w: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最不利投资情形风险指在非政策风险、不可抗力风险、客户违约、产品投资运作中出现风险等最不利的情况下，客户到期可兑付金额有可能为零。</w:t>
      </w:r>
    </w:p>
    <w:p>
      <w:pPr>
        <w:snapToGrid w:val="0"/>
        <w:spacing w:line="360" w:lineRule="auto"/>
        <w:ind w:firstLine="413" w:firstLineChars="196"/>
        <w:rPr>
          <w:rFonts w:hint="eastAsia" w:ascii="楷体" w:hAnsi="楷体" w:eastAsia="楷体" w:cs="楷体"/>
          <w:b/>
          <w:bCs/>
          <w:color w:val="auto"/>
          <w:kern w:val="0"/>
          <w:szCs w:val="21"/>
          <w:u w:val="none"/>
        </w:rPr>
      </w:pPr>
      <w:r>
        <w:rPr>
          <w:rFonts w:hint="eastAsia" w:ascii="楷体" w:hAnsi="楷体" w:eastAsia="楷体" w:cs="楷体"/>
          <w:b/>
          <w:bCs/>
          <w:color w:val="auto"/>
          <w:kern w:val="0"/>
          <w:szCs w:val="21"/>
          <w:u w:val="none"/>
        </w:rPr>
        <w:t>管理人郑重提示：在购买理财产品前，您应确保自己完全明白该项投资的性质和所涉及的风险，详细了解和审慎评估该理财产品的资金投资方向、风险类型及收益等基本情况，在慎重考虑后自行决定购买与自身风险承受能力和资产管理需求相匹配的理财产品。</w:t>
      </w:r>
    </w:p>
    <w:p>
      <w:pPr>
        <w:ind w:firstLine="0" w:firstLineChars="0"/>
        <w:jc w:val="right"/>
        <w:rPr>
          <w:rFonts w:hint="eastAsia" w:ascii="楷体" w:hAnsi="楷体" w:eastAsia="楷体" w:cs="楷体"/>
          <w:b/>
          <w:bCs/>
          <w:szCs w:val="21"/>
          <w:u w:val="none"/>
        </w:rPr>
      </w:pPr>
    </w:p>
    <w:p>
      <w:pPr>
        <w:jc w:val="right"/>
        <w:outlineLvl w:val="9"/>
        <w:rPr>
          <w:rFonts w:hint="eastAsia" w:ascii="楷体" w:hAnsi="楷体" w:eastAsia="楷体" w:cs="楷体"/>
          <w:b/>
          <w:bCs/>
          <w:szCs w:val="21"/>
          <w:u w:val="none"/>
        </w:rPr>
      </w:pPr>
      <w:r>
        <w:rPr>
          <w:rFonts w:hint="eastAsia" w:ascii="楷体" w:hAnsi="楷体" w:eastAsia="楷体" w:cs="楷体"/>
          <w:b/>
          <w:bCs/>
          <w:szCs w:val="21"/>
          <w:u w:val="none"/>
        </w:rPr>
        <w:t>提示方：上银理财有限责任公司</w:t>
      </w:r>
    </w:p>
    <w:p>
      <w:pPr>
        <w:rPr>
          <w:rFonts w:hint="eastAsia" w:ascii="楷体_GB2312" w:hAnsi="宋体" w:eastAsia="楷体_GB2312"/>
          <w:b/>
          <w:bCs/>
          <w:szCs w:val="21"/>
          <w:u w:val="none"/>
        </w:rPr>
      </w:pPr>
      <w:r>
        <w:rPr>
          <w:rFonts w:hint="eastAsia" w:ascii="楷体_GB2312" w:hAnsi="宋体" w:eastAsia="楷体_GB2312"/>
          <w:b/>
          <w:bCs/>
          <w:szCs w:val="21"/>
          <w:u w:val="none"/>
        </w:rPr>
        <w:br w:type="page"/>
      </w:r>
    </w:p>
    <w:p>
      <w:pPr>
        <w:ind w:firstLine="422" w:firstLineChars="200"/>
        <w:jc w:val="center"/>
        <w:outlineLvl w:val="0"/>
        <w:rPr>
          <w:rFonts w:ascii="楷体" w:hAnsi="楷体" w:eastAsia="楷体"/>
          <w:b/>
          <w:bCs/>
          <w:u w:val="none"/>
        </w:rPr>
      </w:pPr>
      <w:r>
        <w:rPr>
          <w:rFonts w:hint="eastAsia" w:ascii="楷体" w:hAnsi="楷体" w:eastAsia="楷体"/>
          <w:b/>
          <w:bCs/>
          <w:u w:val="none"/>
        </w:rPr>
        <w:t>客户确认栏</w:t>
      </w:r>
    </w:p>
    <w:p>
      <w:pPr>
        <w:ind w:firstLine="422" w:firstLineChars="200"/>
        <w:rPr>
          <w:rFonts w:ascii="楷体" w:hAnsi="楷体" w:eastAsia="楷体"/>
          <w:b/>
          <w:bCs/>
          <w:u w:val="none"/>
        </w:rPr>
      </w:pPr>
    </w:p>
    <w:p>
      <w:pPr>
        <w:snapToGrid w:val="0"/>
        <w:spacing w:line="360" w:lineRule="auto"/>
        <w:ind w:firstLine="413" w:firstLineChars="196"/>
        <w:rPr>
          <w:rFonts w:hint="eastAsia" w:ascii="楷体" w:hAnsi="楷体" w:eastAsia="楷体" w:cs="楷体"/>
          <w:b/>
          <w:bCs/>
          <w:szCs w:val="21"/>
          <w:u w:val="none"/>
        </w:rPr>
      </w:pPr>
      <w:r>
        <w:rPr>
          <w:rFonts w:hint="eastAsia" w:ascii="楷体" w:hAnsi="楷体" w:eastAsia="楷体" w:cs="楷体"/>
          <w:b/>
          <w:bCs/>
          <w:szCs w:val="21"/>
          <w:u w:val="none"/>
        </w:rPr>
        <w:t>本人/本机构确认本理财产品完全适合本人/本机构的投资目标，投资预期以及风险承受能力及投资经验。本人/本机构购买理财产品的资金为合法自有资金，不存在使用贷款、发行债券等筹集的非自有资金投资资产管理产品的情形，本人/本机构承诺投资理财产品使用的资金来源合法合规，并且系为合法之目的投资本理财产品，而非为洗钱等违法犯罪之目的，本人/本机构将配合销售机构及理财产品管理人开展客户身份识别</w:t>
      </w:r>
      <w:r>
        <w:rPr>
          <w:rFonts w:hint="eastAsia" w:ascii="楷体" w:hAnsi="楷体" w:eastAsia="楷体" w:cs="楷体"/>
          <w:b/>
          <w:bCs/>
          <w:color w:val="000000" w:themeColor="text1"/>
          <w:szCs w:val="21"/>
          <w:highlight w:val="none"/>
          <w14:textFill>
            <w14:solidFill>
              <w14:schemeClr w14:val="tx1"/>
            </w14:solidFill>
          </w14:textFill>
        </w:rPr>
        <w:t>及</w:t>
      </w:r>
      <w:r>
        <w:rPr>
          <w:rFonts w:hint="eastAsia" w:ascii="楷体" w:hAnsi="楷体" w:eastAsia="楷体" w:cs="楷体"/>
          <w:b/>
          <w:bCs/>
          <w:color w:val="000000" w:themeColor="text1"/>
          <w:szCs w:val="21"/>
          <w14:textFill>
            <w14:solidFill>
              <w14:schemeClr w14:val="tx1"/>
            </w14:solidFill>
          </w14:textFill>
        </w:rPr>
        <w:t>反洗钱、反恐怖融资以及非居民金融账户涉税信息尽职调查活动</w:t>
      </w:r>
      <w:r>
        <w:rPr>
          <w:rFonts w:hint="eastAsia" w:ascii="楷体" w:hAnsi="楷体" w:eastAsia="楷体" w:cs="楷体"/>
          <w:b/>
          <w:bCs/>
          <w:szCs w:val="21"/>
          <w:u w:val="none"/>
        </w:rPr>
        <w:t>，及时、真实、准确、完整提供身份信息及资金来源等信息。本人/本机构确认销售机构相关业务人员对于说明书中有关免除、限制管理人责任的条款，和管理人单方面拥有某些权利的条款已向本人/本机构予以说明。</w:t>
      </w:r>
    </w:p>
    <w:p>
      <w:pPr>
        <w:ind w:firstLine="422" w:firstLineChars="200"/>
        <w:rPr>
          <w:rFonts w:ascii="楷体" w:hAnsi="楷体" w:eastAsia="楷体"/>
          <w:b/>
          <w:bCs/>
          <w:u w:val="none"/>
        </w:rPr>
      </w:pPr>
    </w:p>
    <w:p>
      <w:pPr>
        <w:ind w:firstLine="422" w:firstLineChars="200"/>
        <w:rPr>
          <w:rFonts w:ascii="楷体" w:hAnsi="楷体" w:eastAsia="楷体"/>
          <w:b/>
          <w:bCs/>
          <w:u w:val="none"/>
        </w:rPr>
      </w:pPr>
      <w:r>
        <w:rPr>
          <w:rFonts w:hint="eastAsia" w:ascii="楷体" w:hAnsi="楷体" w:eastAsia="楷体"/>
          <w:b/>
          <w:bCs/>
          <w:u w:val="none"/>
        </w:rPr>
        <w:t>本人/本机构</w:t>
      </w:r>
      <w:r>
        <w:rPr>
          <w:rFonts w:ascii="楷体" w:hAnsi="楷体" w:eastAsia="楷体"/>
          <w:b/>
          <w:bCs/>
          <w:u w:val="none"/>
        </w:rPr>
        <w:t>同时</w:t>
      </w:r>
      <w:r>
        <w:rPr>
          <w:rFonts w:hint="eastAsia" w:ascii="楷体" w:hAnsi="楷体" w:eastAsia="楷体"/>
          <w:b/>
          <w:bCs/>
          <w:u w:val="none"/>
        </w:rPr>
        <w:t>确认如下：</w:t>
      </w:r>
    </w:p>
    <w:p>
      <w:pPr>
        <w:ind w:firstLine="422" w:firstLineChars="200"/>
        <w:rPr>
          <w:rFonts w:ascii="楷体" w:hAnsi="楷体" w:eastAsia="楷体"/>
          <w:b/>
          <w:bCs/>
          <w:u w:val="none"/>
        </w:rPr>
      </w:pPr>
    </w:p>
    <w:p>
      <w:pPr>
        <w:ind w:firstLine="422" w:firstLineChars="200"/>
        <w:rPr>
          <w:rFonts w:ascii="楷体" w:hAnsi="楷体" w:eastAsia="楷体"/>
          <w:b/>
          <w:bCs/>
          <w:u w:val="none"/>
        </w:rPr>
      </w:pPr>
      <w:r>
        <w:rPr>
          <w:rFonts w:hint="eastAsia" w:ascii="楷体" w:hAnsi="楷体" w:eastAsia="楷体"/>
          <w:b/>
          <w:bCs/>
          <w:u w:val="none"/>
        </w:rPr>
        <w:t>※客户风险承受能力评级：（必须由客户填写）</w:t>
      </w:r>
    </w:p>
    <w:p>
      <w:pPr>
        <w:ind w:firstLine="422" w:firstLineChars="200"/>
        <w:rPr>
          <w:rFonts w:ascii="楷体" w:hAnsi="楷体" w:eastAsia="楷体"/>
          <w:b/>
          <w:bCs/>
          <w:u w:val="none"/>
        </w:rPr>
      </w:pPr>
      <w:r>
        <w:rPr>
          <w:rFonts w:hint="eastAsia" w:ascii="楷体" w:hAnsi="楷体" w:eastAsia="楷体"/>
          <w:b/>
          <w:bCs/>
          <w:u w:val="single"/>
        </w:rPr>
        <w:t xml:space="preserve">                             </w:t>
      </w:r>
      <w:r>
        <w:rPr>
          <w:rFonts w:hint="eastAsia" w:ascii="楷体" w:hAnsi="楷体" w:eastAsia="楷体"/>
          <w:b/>
          <w:bCs/>
          <w:u w:val="none"/>
        </w:rPr>
        <w:t>（保守型 / 稳健型 / 平衡型 / 成长型 / 进取型）</w:t>
      </w:r>
    </w:p>
    <w:p>
      <w:pPr>
        <w:ind w:firstLine="422" w:firstLineChars="200"/>
        <w:rPr>
          <w:rFonts w:ascii="楷体" w:hAnsi="楷体" w:eastAsia="楷体"/>
          <w:b/>
          <w:bCs/>
          <w:u w:val="none"/>
        </w:rPr>
      </w:pPr>
    </w:p>
    <w:p>
      <w:pPr>
        <w:ind w:firstLine="422" w:firstLineChars="200"/>
        <w:rPr>
          <w:rFonts w:ascii="楷体" w:hAnsi="楷体" w:eastAsia="楷体"/>
          <w:b/>
          <w:bCs/>
          <w:u w:val="none"/>
        </w:rPr>
      </w:pPr>
      <w:r>
        <w:rPr>
          <w:rFonts w:hint="eastAsia" w:ascii="楷体" w:hAnsi="楷体" w:eastAsia="楷体"/>
          <w:b/>
          <w:bCs/>
          <w:u w:val="none"/>
        </w:rPr>
        <w:t>※客户声明并抄录以下内容：</w:t>
      </w:r>
    </w:p>
    <w:p>
      <w:pPr>
        <w:ind w:firstLine="422" w:firstLineChars="200"/>
        <w:rPr>
          <w:rFonts w:ascii="楷体" w:hAnsi="楷体" w:eastAsia="楷体"/>
          <w:b/>
          <w:bCs/>
          <w:u w:val="none"/>
        </w:rPr>
      </w:pPr>
      <w:r>
        <w:rPr>
          <w:rFonts w:hint="eastAsia" w:ascii="楷体" w:hAnsi="楷体" w:eastAsia="楷体"/>
          <w:b/>
          <w:bCs/>
          <w:u w:val="none"/>
        </w:rPr>
        <w:t>“本人/本机构已经阅读风险揭示，充分了解并清楚知晓</w:t>
      </w:r>
      <w:r>
        <w:rPr>
          <w:rFonts w:ascii="楷体" w:hAnsi="楷体" w:eastAsia="楷体"/>
          <w:b/>
          <w:bCs/>
          <w:u w:val="none"/>
        </w:rPr>
        <w:t>本理财</w:t>
      </w:r>
      <w:r>
        <w:rPr>
          <w:rFonts w:hint="eastAsia" w:ascii="楷体" w:hAnsi="楷体" w:eastAsia="楷体"/>
          <w:b/>
          <w:bCs/>
          <w:u w:val="none"/>
        </w:rPr>
        <w:t>产品</w:t>
      </w:r>
      <w:r>
        <w:rPr>
          <w:rFonts w:ascii="楷体" w:hAnsi="楷体" w:eastAsia="楷体"/>
          <w:b/>
          <w:bCs/>
          <w:u w:val="none"/>
        </w:rPr>
        <w:t>的风险</w:t>
      </w:r>
      <w:r>
        <w:rPr>
          <w:rFonts w:hint="eastAsia" w:ascii="楷体" w:hAnsi="楷体" w:eastAsia="楷体"/>
          <w:b/>
          <w:bCs/>
          <w:u w:val="none"/>
        </w:rPr>
        <w:t>，愿意承担投资风险。”</w:t>
      </w:r>
    </w:p>
    <w:p>
      <w:pPr>
        <w:ind w:firstLine="422" w:firstLineChars="200"/>
        <w:rPr>
          <w:rFonts w:ascii="楷体" w:hAnsi="楷体" w:eastAsia="楷体"/>
          <w:b/>
          <w:bCs/>
          <w:u w:val="single"/>
        </w:rPr>
      </w:pPr>
      <w:r>
        <w:rPr>
          <w:rFonts w:hint="eastAsia" w:ascii="楷体" w:hAnsi="楷体" w:eastAsia="楷体"/>
          <w:b/>
          <w:bCs/>
          <w:u w:val="single"/>
        </w:rPr>
        <w:t xml:space="preserve">                                                                           </w:t>
      </w:r>
    </w:p>
    <w:p>
      <w:pPr>
        <w:rPr>
          <w:rFonts w:ascii="楷体" w:hAnsi="楷体" w:eastAsia="楷体"/>
          <w:b/>
          <w:bCs/>
          <w:u w:val="single"/>
        </w:rPr>
      </w:pPr>
      <w:r>
        <w:rPr>
          <w:rFonts w:hint="eastAsia" w:ascii="楷体" w:hAnsi="楷体" w:eastAsia="楷体"/>
          <w:b/>
          <w:bCs/>
          <w:u w:val="single"/>
        </w:rPr>
        <w:t xml:space="preserve">                                                                               </w:t>
      </w:r>
    </w:p>
    <w:p>
      <w:pPr>
        <w:ind w:firstLine="422" w:firstLineChars="200"/>
        <w:rPr>
          <w:rFonts w:ascii="楷体" w:hAnsi="楷体" w:eastAsia="楷体"/>
          <w:b/>
          <w:bCs/>
          <w:u w:val="none"/>
        </w:rPr>
      </w:pPr>
    </w:p>
    <w:p>
      <w:pPr>
        <w:rPr>
          <w:u w:val="none"/>
        </w:rPr>
      </w:pPr>
      <w:r>
        <w:rPr>
          <w:rFonts w:hint="eastAsia" w:ascii="楷体" w:hAnsi="楷体" w:eastAsia="楷体"/>
          <w:b/>
          <w:bCs/>
          <w:u w:val="none"/>
        </w:rPr>
        <w:t>确认人（签字</w:t>
      </w:r>
      <w:r>
        <w:rPr>
          <w:rFonts w:hint="eastAsia" w:ascii="楷体" w:hAnsi="楷体" w:eastAsia="楷体"/>
          <w:b/>
          <w:bCs/>
          <w:u w:val="none"/>
          <w:lang w:val="en-US" w:eastAsia="zh-CN"/>
        </w:rPr>
        <w:t>/签章</w:t>
      </w:r>
      <w:r>
        <w:rPr>
          <w:rFonts w:hint="eastAsia" w:ascii="楷体" w:hAnsi="楷体" w:eastAsia="楷体"/>
          <w:b/>
          <w:bCs/>
          <w:u w:val="none"/>
        </w:rPr>
        <w:t>）：</w:t>
      </w:r>
      <w:r>
        <w:rPr>
          <w:rFonts w:hint="eastAsia" w:ascii="楷体" w:hAnsi="楷体" w:eastAsia="楷体"/>
          <w:b/>
          <w:bCs/>
          <w:u w:val="single"/>
        </w:rPr>
        <w:t xml:space="preserve">                       </w:t>
      </w:r>
      <w:r>
        <w:rPr>
          <w:rFonts w:hint="eastAsia" w:ascii="楷体" w:hAnsi="楷体" w:eastAsia="楷体"/>
          <w:b/>
          <w:bCs/>
          <w:u w:val="none"/>
        </w:rPr>
        <w:t xml:space="preserve">      日期：</w:t>
      </w:r>
      <w:r>
        <w:rPr>
          <w:rFonts w:hint="eastAsia" w:ascii="楷体" w:hAnsi="楷体" w:eastAsia="楷体"/>
          <w:b/>
          <w:bCs/>
          <w:u w:val="single"/>
        </w:rPr>
        <w:t xml:space="preserve">     </w:t>
      </w:r>
      <w:r>
        <w:rPr>
          <w:rFonts w:hint="eastAsia" w:ascii="楷体" w:hAnsi="楷体" w:eastAsia="楷体"/>
          <w:b/>
          <w:bCs/>
          <w:u w:val="none"/>
        </w:rPr>
        <w:t>年</w:t>
      </w:r>
      <w:r>
        <w:rPr>
          <w:rFonts w:hint="eastAsia" w:ascii="楷体" w:hAnsi="楷体" w:eastAsia="楷体"/>
          <w:b/>
          <w:bCs/>
          <w:u w:val="single"/>
        </w:rPr>
        <w:t xml:space="preserve">     </w:t>
      </w:r>
      <w:r>
        <w:rPr>
          <w:rFonts w:hint="eastAsia" w:ascii="楷体" w:hAnsi="楷体" w:eastAsia="楷体"/>
          <w:b/>
          <w:bCs/>
          <w:u w:val="none"/>
        </w:rPr>
        <w:t>月</w:t>
      </w:r>
      <w:r>
        <w:rPr>
          <w:rFonts w:hint="eastAsia" w:ascii="楷体" w:hAnsi="楷体" w:eastAsia="楷体"/>
          <w:b/>
          <w:bCs/>
          <w:u w:val="single"/>
        </w:rPr>
        <w:t xml:space="preserve">     </w:t>
      </w:r>
      <w:r>
        <w:rPr>
          <w:rFonts w:hint="eastAsia" w:ascii="楷体" w:hAnsi="楷体" w:eastAsia="楷体"/>
          <w:b/>
          <w:bCs/>
          <w:u w:val="none"/>
        </w:rPr>
        <w:t>日</w:t>
      </w: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u w:val="none"/>
        </w:rPr>
      </w:pPr>
    </w:p>
    <w:p>
      <w:pPr>
        <w:ind w:firstLine="0" w:firstLineChars="0"/>
        <w:rPr>
          <w:rFonts w:hint="eastAsia" w:ascii="楷体_GB2312" w:hAnsi="宋体" w:eastAsia="楷体_GB2312"/>
          <w:b/>
          <w:bCs/>
          <w:szCs w:val="21"/>
          <w:u w:val="none"/>
        </w:rPr>
      </w:pPr>
    </w:p>
    <w:p/>
    <w:p>
      <w:pPr>
        <w:rPr>
          <w:rFonts w:hint="eastAsia" w:ascii="黑体" w:hAnsi="黑体" w:eastAsia="黑体" w:cs="Arial"/>
          <w:b/>
          <w:bCs/>
          <w:sz w:val="28"/>
          <w:szCs w:val="28"/>
        </w:rPr>
      </w:pPr>
    </w:p>
    <w:p>
      <w:pPr>
        <w:outlineLvl w:val="0"/>
        <w:rPr>
          <w:rFonts w:ascii="黑体" w:hAnsi="黑体" w:eastAsia="黑体" w:cs="Arial"/>
          <w:b/>
          <w:bCs/>
          <w:sz w:val="28"/>
          <w:szCs w:val="28"/>
          <w:u w:val="none"/>
        </w:rPr>
      </w:pPr>
      <w:r>
        <w:rPr>
          <w:rFonts w:hint="eastAsia" w:ascii="黑体" w:hAnsi="黑体" w:eastAsia="黑体" w:cs="Arial"/>
          <w:b/>
          <w:bCs/>
          <w:sz w:val="28"/>
          <w:szCs w:val="28"/>
          <w:u w:val="none"/>
        </w:rPr>
        <w:t>上银理财                 理财非存款、产品有风险、投资须谨慎</w:t>
      </w:r>
    </w:p>
    <w:p>
      <w:pPr>
        <w:rPr>
          <w:rFonts w:ascii="黑体" w:hAnsi="黑体" w:eastAsia="黑体" w:cs="Arial"/>
          <w:b/>
          <w:bCs/>
          <w:sz w:val="20"/>
          <w:szCs w:val="20"/>
          <w:u w:val="none"/>
        </w:rPr>
      </w:pPr>
      <w:r>
        <w:rPr>
          <w:sz w:val="20"/>
          <w:u w:val="non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41910</wp:posOffset>
                </wp:positionV>
                <wp:extent cx="5254625" cy="0"/>
                <wp:effectExtent l="0" t="6350" r="3175" b="6350"/>
                <wp:wrapNone/>
                <wp:docPr id="2" name="直接连接符 2"/>
                <wp:cNvGraphicFramePr/>
                <a:graphic xmlns:a="http://schemas.openxmlformats.org/drawingml/2006/main">
                  <a:graphicData uri="http://schemas.microsoft.com/office/word/2010/wordprocessingShape">
                    <wps:wsp>
                      <wps:cNvCnPr/>
                      <wps:spPr>
                        <a:xfrm>
                          <a:off x="1152525" y="1352550"/>
                          <a:ext cx="525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75pt;margin-top:3.3pt;height:0pt;width:413.75pt;z-index:251659264;mso-width-relative:page;mso-height-relative:page;" filled="f" stroked="t" coordsize="21600,21600" o:gfxdata="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POViXU&#10;AAAABQEAAA8AAAAAAAAAAQAgAAAAIgAAAGRycy9kb3ducmV2LnhtbFBLAQIUABQAAAAIAIdO4kCD&#10;lrwu6wEAAL4DAAAOAAAAAAAAAAEAIAAAACMBAABkcnMvZTJvRG9jLnhtbFBLBQYAAAAABgAGAFkB&#10;AACABQAAAAA=&#10;">
                <v:fill on="f" focussize="0,0"/>
                <v:stroke weight="1pt" color="#000000 [3200]" miterlimit="8" joinstyle="miter"/>
                <v:imagedata o:title=""/>
                <o:lock v:ext="edit" aspectratio="f"/>
              </v:line>
            </w:pict>
          </mc:Fallback>
        </mc:AlternateContent>
      </w: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rPr>
          <w:rFonts w:ascii="黑体" w:hAnsi="黑体" w:eastAsia="黑体" w:cs="Arial"/>
          <w:b/>
          <w:bCs/>
          <w:sz w:val="20"/>
          <w:szCs w:val="20"/>
          <w:u w:val="none"/>
        </w:rPr>
      </w:pPr>
    </w:p>
    <w:p>
      <w:pPr>
        <w:spacing w:line="720" w:lineRule="auto"/>
        <w:jc w:val="center"/>
        <w:rPr>
          <w:rFonts w:ascii="黑体" w:hAnsi="黑体" w:eastAsia="黑体" w:cs="Arial"/>
          <w:b/>
          <w:bCs/>
          <w:color w:val="000000" w:themeColor="text1"/>
          <w:sz w:val="44"/>
          <w:szCs w:val="44"/>
          <w14:textFill>
            <w14:solidFill>
              <w14:schemeClr w14:val="tx1"/>
            </w14:solidFill>
          </w14:textFill>
        </w:rPr>
      </w:pPr>
      <w:r>
        <w:rPr>
          <w:rFonts w:hint="eastAsia" w:ascii="黑体" w:hAnsi="黑体" w:eastAsia="黑体" w:cs="Arial"/>
          <w:b/>
          <w:bCs/>
          <w:color w:val="000000" w:themeColor="text1"/>
          <w:sz w:val="44"/>
          <w:szCs w:val="44"/>
          <w14:textFill>
            <w14:solidFill>
              <w14:schemeClr w14:val="tx1"/>
            </w14:solidFill>
          </w14:textFill>
        </w:rPr>
        <w:t>【上银理财“易享利”系列开放式持有期理财产品WPEK26M0329期】</w:t>
      </w:r>
    </w:p>
    <w:p>
      <w:pPr>
        <w:spacing w:line="720" w:lineRule="auto"/>
        <w:jc w:val="center"/>
        <w:outlineLvl w:val="0"/>
        <w:rPr>
          <w:rFonts w:ascii="黑体" w:hAnsi="黑体" w:eastAsia="黑体" w:cs="Arial"/>
          <w:b/>
          <w:bCs/>
          <w:sz w:val="44"/>
          <w:szCs w:val="44"/>
          <w:u w:val="none"/>
        </w:rPr>
      </w:pPr>
      <w:r>
        <w:rPr>
          <w:rFonts w:hint="eastAsia" w:ascii="黑体" w:hAnsi="黑体" w:eastAsia="黑体" w:cs="Arial"/>
          <w:b/>
          <w:bCs/>
          <w:sz w:val="44"/>
          <w:szCs w:val="44"/>
          <w:u w:val="none"/>
        </w:rPr>
        <w:t>产品说明书</w:t>
      </w: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jc w:val="center"/>
        <w:rPr>
          <w:rFonts w:ascii="黑体" w:hAnsi="黑体" w:eastAsia="黑体" w:cs="Arial"/>
          <w:b/>
          <w:bCs/>
          <w:sz w:val="20"/>
          <w:szCs w:val="20"/>
          <w:u w:val="none"/>
        </w:rPr>
      </w:pPr>
    </w:p>
    <w:p>
      <w:pPr>
        <w:spacing w:line="360" w:lineRule="auto"/>
        <w:jc w:val="center"/>
        <w:outlineLvl w:val="0"/>
        <w:rPr>
          <w:rFonts w:ascii="黑体" w:hAnsi="黑体" w:eastAsia="黑体" w:cs="Arial"/>
          <w:b/>
          <w:bCs/>
          <w:sz w:val="24"/>
          <w:szCs w:val="24"/>
          <w:u w:val="none"/>
        </w:rPr>
      </w:pPr>
      <w:r>
        <w:rPr>
          <w:rFonts w:hint="eastAsia" w:ascii="黑体" w:hAnsi="黑体" w:eastAsia="黑体" w:cs="Arial"/>
          <w:b/>
          <w:bCs/>
          <w:sz w:val="24"/>
          <w:szCs w:val="24"/>
          <w:u w:val="none"/>
        </w:rPr>
        <w:t>理财产品管理人：上银理财有限责任公司</w:t>
      </w:r>
    </w:p>
    <w:p>
      <w:pPr>
        <w:spacing w:line="360" w:lineRule="auto"/>
        <w:jc w:val="center"/>
        <w:outlineLvl w:val="0"/>
        <w:rPr>
          <w:rFonts w:hint="eastAsia" w:ascii="黑体" w:hAnsi="黑体" w:eastAsia="黑体" w:cs="Arial"/>
          <w:b/>
          <w:bCs/>
          <w:sz w:val="24"/>
          <w:szCs w:val="24"/>
          <w:u w:val="none"/>
          <w:lang w:val="en-US" w:eastAsia="zh-CN"/>
        </w:rPr>
      </w:pPr>
      <w:r>
        <w:rPr>
          <w:rFonts w:hint="eastAsia" w:ascii="黑体" w:hAnsi="黑体" w:eastAsia="黑体" w:cs="Arial"/>
          <w:b/>
          <w:bCs/>
          <w:sz w:val="24"/>
          <w:szCs w:val="24"/>
          <w:u w:val="none"/>
        </w:rPr>
        <w:t>理财产品托管人：</w:t>
      </w:r>
      <w:r>
        <w:rPr>
          <w:rFonts w:hint="eastAsia" w:ascii="黑体" w:hAnsi="黑体" w:eastAsia="黑体" w:cs="Arial"/>
          <w:b/>
          <w:bCs/>
          <w:color w:val="000000" w:themeColor="text1"/>
          <w:sz w:val="24"/>
          <w:szCs w:val="24"/>
          <w14:textFill>
            <w14:solidFill>
              <w14:schemeClr w14:val="tx1"/>
            </w14:solidFill>
          </w14:textFill>
        </w:rPr>
        <w:t>【上海银行股份有限公司】</w:t>
      </w:r>
    </w:p>
    <w:p>
      <w:pPr>
        <w:tabs>
          <w:tab w:val="left" w:pos="630"/>
        </w:tabs>
        <w:rPr>
          <w:rFonts w:hint="eastAsia" w:ascii="黑体" w:hAnsi="黑体" w:eastAsia="黑体" w:cs="Arial"/>
          <w:b/>
          <w:bCs/>
          <w:sz w:val="20"/>
          <w:szCs w:val="20"/>
          <w:u w:val="none"/>
        </w:rPr>
      </w:pPr>
    </w:p>
    <w:p>
      <w:pPr>
        <w:rPr>
          <w:rFonts w:hint="eastAsia" w:ascii="黑体" w:hAnsi="黑体" w:eastAsia="黑体" w:cs="Arial"/>
          <w:b/>
          <w:bCs/>
          <w:sz w:val="20"/>
          <w:szCs w:val="20"/>
          <w:u w:val="none"/>
        </w:rPr>
      </w:pPr>
      <w:r>
        <w:rPr>
          <w:rFonts w:hint="eastAsia" w:ascii="黑体" w:hAnsi="黑体" w:eastAsia="黑体" w:cs="Arial"/>
          <w:b/>
          <w:bCs/>
          <w:sz w:val="20"/>
          <w:szCs w:val="20"/>
          <w:u w:val="none"/>
        </w:rPr>
        <w:br w:type="page"/>
      </w:r>
    </w:p>
    <w:p>
      <w:pPr>
        <w:tabs>
          <w:tab w:val="left" w:pos="630"/>
        </w:tabs>
        <w:rPr>
          <w:rFonts w:ascii="黑体" w:hAnsi="黑体" w:eastAsia="黑体" w:cs="Arial"/>
          <w:b/>
          <w:bCs/>
          <w:sz w:val="20"/>
          <w:szCs w:val="20"/>
        </w:rPr>
      </w:pPr>
      <w:r>
        <w:rPr>
          <w:rFonts w:hint="eastAsia" w:ascii="黑体" w:hAnsi="黑体" w:eastAsia="黑体" w:cs="Arial"/>
          <w:b/>
          <w:bCs/>
          <w:sz w:val="20"/>
          <w:szCs w:val="20"/>
          <w:highlight w:val="none"/>
          <w:u w:val="none"/>
        </w:rPr>
        <w:t>产品登记编码：</w:t>
      </w:r>
      <w:r>
        <w:rPr>
          <w:rFonts w:hint="eastAsia" w:ascii="黑体" w:hAnsi="黑体" w:eastAsia="黑体" w:cs="Arial"/>
          <w:b/>
          <w:bCs/>
          <w:sz w:val="20"/>
          <w:szCs w:val="20"/>
          <w:lang w:eastAsia="zh-CN"/>
        </w:rPr>
        <w:t>【Z7007126000323】</w:t>
      </w:r>
      <w:r>
        <w:rPr>
          <w:rFonts w:ascii="黑体" w:hAnsi="黑体" w:eastAsia="黑体" w:cs="Arial"/>
          <w:b/>
          <w:bCs/>
          <w:sz w:val="20"/>
          <w:szCs w:val="20"/>
          <w:highlight w:val="none"/>
          <w:u w:val="none"/>
        </w:rPr>
        <w:t xml:space="preserve">                               </w:t>
      </w:r>
      <w:r>
        <w:rPr>
          <w:rFonts w:hint="eastAsia" w:ascii="黑体" w:hAnsi="黑体" w:eastAsia="黑体" w:cs="Arial"/>
          <w:b/>
          <w:bCs/>
          <w:sz w:val="20"/>
          <w:szCs w:val="20"/>
          <w:highlight w:val="none"/>
          <w:u w:val="none"/>
        </w:rPr>
        <w:t>版本号：</w:t>
      </w:r>
      <w:r>
        <w:rPr>
          <w:rFonts w:hint="eastAsia" w:ascii="黑体" w:hAnsi="黑体" w:eastAsia="黑体" w:cs="Arial"/>
          <w:b/>
          <w:bCs/>
          <w:sz w:val="20"/>
          <w:szCs w:val="20"/>
          <w:lang w:eastAsia="zh-CN"/>
        </w:rPr>
        <w:t>【2026.02】</w:t>
      </w:r>
    </w:p>
    <w:p>
      <w:pPr>
        <w:snapToGrid w:val="0"/>
        <w:spacing w:line="360" w:lineRule="auto"/>
        <w:jc w:val="center"/>
        <w:rPr>
          <w:rFonts w:ascii="楷体_GB2312" w:hAnsi="宋体" w:eastAsia="楷体_GB2312"/>
          <w:b/>
          <w:bCs/>
          <w:sz w:val="30"/>
          <w:szCs w:val="30"/>
          <w:u w:val="none"/>
        </w:rPr>
      </w:pPr>
    </w:p>
    <w:p>
      <w:pPr>
        <w:pStyle w:val="2"/>
        <w:spacing w:line="360" w:lineRule="auto"/>
        <w:ind w:firstLine="720"/>
        <w:jc w:val="center"/>
        <w:rPr>
          <w:rFonts w:hint="eastAsia" w:ascii="黑体" w:hAnsi="黑体" w:eastAsia="黑体" w:cs="黑体"/>
          <w:b/>
          <w:bCs/>
          <w:kern w:val="44"/>
          <w:sz w:val="36"/>
          <w:szCs w:val="36"/>
          <w:u w:val="none"/>
          <w:lang w:eastAsia="zh-CN"/>
        </w:rPr>
      </w:pPr>
      <w:r>
        <w:rPr>
          <w:rFonts w:hint="eastAsia" w:ascii="黑体" w:hAnsi="黑体" w:eastAsia="黑体" w:cs="黑体"/>
          <w:b/>
          <w:bCs/>
          <w:kern w:val="44"/>
          <w:sz w:val="36"/>
          <w:szCs w:val="36"/>
          <w:u w:val="none"/>
          <w:lang w:eastAsia="zh-CN"/>
        </w:rPr>
        <w:t>【上银理财“易享利”系列开放式持有期理财产品WPEK26M0329期】</w:t>
      </w:r>
    </w:p>
    <w:p>
      <w:pPr>
        <w:pStyle w:val="2"/>
        <w:spacing w:line="360" w:lineRule="auto"/>
        <w:ind w:firstLine="720"/>
        <w:jc w:val="center"/>
        <w:rPr>
          <w:rFonts w:hint="eastAsia" w:ascii="黑体" w:hAnsi="黑体" w:eastAsia="黑体" w:cs="黑体"/>
          <w:b/>
          <w:bCs/>
          <w:kern w:val="44"/>
          <w:sz w:val="36"/>
          <w:szCs w:val="36"/>
          <w:u w:val="none"/>
        </w:rPr>
      </w:pPr>
      <w:r>
        <w:rPr>
          <w:rFonts w:hint="eastAsia" w:ascii="黑体" w:hAnsi="黑体" w:eastAsia="黑体" w:cs="黑体"/>
          <w:b/>
          <w:bCs/>
          <w:kern w:val="44"/>
          <w:sz w:val="36"/>
          <w:szCs w:val="36"/>
          <w:u w:val="none"/>
          <w:lang w:val="en-US" w:eastAsia="zh-CN"/>
        </w:rPr>
        <w:t>产品</w:t>
      </w:r>
      <w:r>
        <w:rPr>
          <w:rFonts w:hint="eastAsia" w:ascii="黑体" w:hAnsi="黑体" w:eastAsia="黑体" w:cs="黑体"/>
          <w:b/>
          <w:bCs/>
          <w:kern w:val="44"/>
          <w:sz w:val="36"/>
          <w:szCs w:val="36"/>
          <w:u w:val="none"/>
        </w:rPr>
        <w:t>说明书</w:t>
      </w:r>
    </w:p>
    <w:p>
      <w:pPr>
        <w:ind w:firstLine="720"/>
        <w:jc w:val="center"/>
        <w:rPr>
          <w:rFonts w:ascii="黑体" w:hAnsi="黑体" w:eastAsia="黑体"/>
          <w:b/>
          <w:bCs/>
          <w:sz w:val="32"/>
          <w:szCs w:val="24"/>
          <w:u w:val="none"/>
        </w:rPr>
      </w:pPr>
      <w:r>
        <w:rPr>
          <w:rFonts w:hint="eastAsia" w:ascii="黑体" w:hAnsi="黑体" w:eastAsia="黑体"/>
          <w:b/>
          <w:bCs/>
          <w:sz w:val="32"/>
          <w:szCs w:val="24"/>
          <w:u w:val="none"/>
        </w:rPr>
        <w:t>（产品代码</w:t>
      </w:r>
      <w:r>
        <w:rPr>
          <w:rFonts w:ascii="黑体" w:hAnsi="黑体" w:eastAsia="黑体"/>
          <w:b/>
          <w:bCs/>
          <w:sz w:val="32"/>
          <w:szCs w:val="24"/>
          <w:u w:val="none"/>
        </w:rPr>
        <w:t>：</w:t>
      </w:r>
      <w:r>
        <w:rPr>
          <w:rFonts w:hint="eastAsia" w:ascii="黑体" w:hAnsi="黑体" w:eastAsia="黑体" w:cs="黑体"/>
          <w:b/>
          <w:bCs/>
          <w:color w:val="000000" w:themeColor="text1"/>
          <w:sz w:val="32"/>
          <w:szCs w:val="32"/>
          <w14:textFill>
            <w14:solidFill>
              <w14:schemeClr w14:val="tx1"/>
            </w14:solidFill>
          </w14:textFill>
        </w:rPr>
        <w:t>【WPEK26M0329】</w:t>
      </w:r>
      <w:r>
        <w:rPr>
          <w:rFonts w:hint="eastAsia" w:ascii="黑体" w:hAnsi="黑体" w:eastAsia="黑体"/>
          <w:b/>
          <w:bCs/>
          <w:sz w:val="32"/>
          <w:szCs w:val="24"/>
          <w:u w:val="none"/>
        </w:rPr>
        <w:t>）</w:t>
      </w:r>
    </w:p>
    <w:p>
      <w:pPr>
        <w:ind w:firstLine="720"/>
        <w:jc w:val="center"/>
        <w:rPr>
          <w:rFonts w:ascii="黑体" w:hAnsi="黑体" w:eastAsia="黑体"/>
          <w:b/>
          <w:bCs/>
          <w:sz w:val="28"/>
          <w:u w:val="none"/>
        </w:rPr>
      </w:pPr>
    </w:p>
    <w:p>
      <w:pPr>
        <w:pStyle w:val="2"/>
        <w:spacing w:before="120" w:after="120" w:line="240" w:lineRule="auto"/>
        <w:rPr>
          <w:rFonts w:ascii="楷体" w:hAnsi="楷体" w:eastAsia="楷体"/>
          <w:sz w:val="28"/>
          <w:szCs w:val="28"/>
          <w:u w:val="none"/>
        </w:rPr>
      </w:pPr>
      <w:r>
        <w:rPr>
          <w:rFonts w:hint="eastAsia" w:ascii="楷体" w:hAnsi="楷体" w:eastAsia="楷体"/>
          <w:sz w:val="28"/>
          <w:szCs w:val="28"/>
          <w:u w:val="none"/>
        </w:rPr>
        <w:t>一、重要须知</w:t>
      </w:r>
    </w:p>
    <w:p>
      <w:pPr>
        <w:snapToGrid w:val="0"/>
        <w:spacing w:line="360" w:lineRule="auto"/>
        <w:ind w:firstLine="422" w:firstLineChars="200"/>
        <w:rPr>
          <w:rFonts w:hint="eastAsia" w:ascii="楷体" w:hAnsi="楷体" w:eastAsia="楷体" w:cs="楷体"/>
          <w:b/>
          <w:bCs/>
          <w:szCs w:val="21"/>
          <w:highlight w:val="none"/>
          <w:u w:val="none"/>
        </w:rPr>
      </w:pPr>
      <w:r>
        <w:rPr>
          <w:rFonts w:hint="eastAsia" w:ascii="楷体" w:hAnsi="楷体" w:eastAsia="楷体" w:cs="楷体"/>
          <w:b/>
          <w:bCs/>
          <w:szCs w:val="21"/>
          <w:highlight w:val="none"/>
          <w:u w:val="none"/>
        </w:rPr>
        <w:t>1.</w:t>
      </w:r>
      <w:r>
        <w:rPr>
          <w:rFonts w:hint="eastAsia" w:ascii="楷体" w:hAnsi="楷体" w:eastAsia="楷体" w:cs="楷体"/>
          <w:b/>
          <w:bCs/>
          <w:szCs w:val="21"/>
          <w:highlight w:val="none"/>
          <w:u w:val="none"/>
          <w:lang w:val="en-US" w:eastAsia="zh-CN"/>
        </w:rPr>
        <w:t>本理财产品《产品说明书》、《风险揭示书》、《投资协议书》、《销售（代理销售）协议书》和《投资者权益须知》共同构成一份完整且不可分割的理财产品销售文件。其中</w:t>
      </w:r>
      <w:r>
        <w:rPr>
          <w:rFonts w:hint="eastAsia" w:ascii="楷体" w:hAnsi="楷体" w:eastAsia="楷体" w:cs="楷体"/>
          <w:b/>
          <w:bCs/>
          <w:szCs w:val="21"/>
          <w:highlight w:val="none"/>
          <w:u w:val="none"/>
        </w:rPr>
        <w:t>《产品说明书》与《风险揭示书》、《投资协议书》共同组成投资者与管理人之间就本理财产品达成的理财</w:t>
      </w:r>
      <w:r>
        <w:rPr>
          <w:rFonts w:hint="eastAsia" w:ascii="楷体" w:hAnsi="楷体" w:eastAsia="楷体" w:cs="楷体"/>
          <w:b/>
          <w:bCs/>
          <w:szCs w:val="21"/>
          <w:highlight w:val="none"/>
          <w:u w:val="none"/>
          <w:lang w:val="en-US" w:eastAsia="zh-CN"/>
        </w:rPr>
        <w:t>产品</w:t>
      </w:r>
      <w:r>
        <w:rPr>
          <w:rFonts w:hint="eastAsia" w:ascii="楷体" w:hAnsi="楷体" w:eastAsia="楷体" w:cs="楷体"/>
          <w:b/>
          <w:bCs/>
          <w:szCs w:val="21"/>
          <w:highlight w:val="none"/>
          <w:u w:val="none"/>
        </w:rPr>
        <w:t>合同的不可分割之组成部分。</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.本理财产品不等同于银行存款，不保证本金和最低收益，您的本金有可能会因市场变动蒙受损失，您应充分认识投资风险，谨慎投资。</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.本理财产品仅向依据中华人民共和国有关法律法规及本《产品说明书》规定可以购买本理财产品的投资者发售。</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4</w:t>
      </w:r>
      <w:r>
        <w:rPr>
          <w:rFonts w:hint="eastAsia" w:ascii="楷体" w:hAnsi="楷体" w:eastAsia="楷体" w:cs="楷体"/>
          <w:b/>
          <w:bCs/>
          <w:szCs w:val="21"/>
          <w:u w:val="none"/>
        </w:rPr>
        <w:t>.投资者承诺其用于购买理财产品的资金为自有资金，不存在使用贷款、发行债券等筹集的非自有资金投资本理财产品的情形。</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投资者承诺投资本理财产品使用的资金为投资者合法持有，不属于依据联合国、中国政府及其他可适用政府或国际组织制裁（名单）范围，仅为合法目的投资本理财产品；如发生异常情况，投资者将配合销售机构及管理人开展客户身份识别</w:t>
      </w:r>
      <w:r>
        <w:rPr>
          <w:rFonts w:hint="eastAsia" w:ascii="楷体" w:hAnsi="楷体" w:eastAsia="楷体" w:cs="楷体"/>
          <w:b/>
          <w:bCs/>
          <w:color w:val="000000" w:themeColor="text1"/>
          <w:szCs w:val="21"/>
          <w:highlight w:val="none"/>
          <w14:textFill>
            <w14:solidFill>
              <w14:schemeClr w14:val="tx1"/>
            </w14:solidFill>
          </w14:textFill>
        </w:rPr>
        <w:t>及</w:t>
      </w:r>
      <w:r>
        <w:rPr>
          <w:rFonts w:hint="eastAsia" w:ascii="楷体" w:hAnsi="楷体" w:eastAsia="楷体" w:cs="楷体"/>
          <w:b/>
          <w:bCs/>
          <w:color w:val="000000" w:themeColor="text1"/>
          <w:szCs w:val="21"/>
          <w14:textFill>
            <w14:solidFill>
              <w14:schemeClr w14:val="tx1"/>
            </w14:solidFill>
          </w14:textFill>
        </w:rPr>
        <w:t>反洗钱、反恐怖融资以及非居民金融账户涉税信息尽职调查活动</w:t>
      </w:r>
      <w:r>
        <w:rPr>
          <w:rFonts w:hint="eastAsia" w:ascii="楷体" w:hAnsi="楷体" w:eastAsia="楷体" w:cs="楷体"/>
          <w:b/>
          <w:bCs/>
          <w:szCs w:val="21"/>
          <w:u w:val="none"/>
        </w:rPr>
        <w:t>，及时、真实、准确、完整提供身份信息及资金来源等信息。</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6.投资者承诺依照可适用的法律法规投资本理财产品，如销售机构及管理人发现投资</w:t>
      </w:r>
    </w:p>
    <w:p>
      <w:pPr>
        <w:snapToGrid w:val="0"/>
        <w:spacing w:line="360" w:lineRule="auto"/>
        <w:ind w:firstLine="0" w:firstLineChars="0"/>
        <w:rPr>
          <w:rFonts w:hint="eastAsia" w:ascii="楷体" w:hAnsi="楷体" w:eastAsia="楷体" w:cs="楷体"/>
          <w:b/>
          <w:bCs/>
          <w:szCs w:val="21"/>
          <w:u w:val="none"/>
        </w:rPr>
      </w:pPr>
      <w:r>
        <w:rPr>
          <w:rFonts w:hint="eastAsia" w:ascii="楷体" w:hAnsi="楷体" w:eastAsia="楷体" w:cs="楷体"/>
          <w:b/>
          <w:bCs/>
          <w:szCs w:val="21"/>
          <w:u w:val="none"/>
          <w:lang w:val="en-US" w:eastAsia="zh-CN"/>
        </w:rPr>
        <w:t>者或投资者重要关联方存在洗钱或者被制裁风险，例如提供不实、不完整或者无效的身份</w:t>
      </w:r>
    </w:p>
    <w:p>
      <w:pPr>
        <w:snapToGrid w:val="0"/>
        <w:spacing w:line="360" w:lineRule="auto"/>
        <w:ind w:firstLine="0" w:firstLineChars="0"/>
        <w:rPr>
          <w:rFonts w:hint="eastAsia" w:ascii="楷体" w:hAnsi="楷体" w:eastAsia="楷体" w:cs="楷体"/>
          <w:b/>
          <w:bCs/>
          <w:szCs w:val="21"/>
          <w:u w:val="none"/>
        </w:rPr>
      </w:pPr>
      <w:r>
        <w:rPr>
          <w:rFonts w:hint="eastAsia" w:ascii="楷体" w:hAnsi="楷体" w:eastAsia="楷体" w:cs="楷体"/>
          <w:b/>
          <w:bCs/>
          <w:szCs w:val="21"/>
          <w:u w:val="none"/>
          <w:lang w:val="en-US" w:eastAsia="zh-CN"/>
        </w:rPr>
        <w:t>或交易信息，未及时更新身份证明文件，投资者或投资者账户、投资者重要关联方出现异</w:t>
      </w:r>
    </w:p>
    <w:p>
      <w:pPr>
        <w:snapToGrid w:val="0"/>
        <w:spacing w:line="360" w:lineRule="auto"/>
        <w:ind w:firstLine="0" w:firstLineChars="0"/>
        <w:rPr>
          <w:rFonts w:hint="eastAsia" w:ascii="楷体" w:hAnsi="楷体" w:eastAsia="楷体" w:cs="楷体"/>
          <w:b/>
          <w:bCs/>
          <w:szCs w:val="21"/>
          <w:u w:val="none"/>
        </w:rPr>
      </w:pPr>
      <w:r>
        <w:rPr>
          <w:rFonts w:hint="eastAsia" w:ascii="楷体" w:hAnsi="楷体" w:eastAsia="楷体" w:cs="楷体"/>
          <w:b/>
          <w:bCs/>
          <w:szCs w:val="21"/>
          <w:u w:val="none"/>
          <w:lang w:val="en-US" w:eastAsia="zh-CN"/>
        </w:rPr>
        <w:t>常或涉嫌洗钱、恐怖融资，投资者或投资者交易、投资者重要关联方或其交易涉及联合国、</w:t>
      </w:r>
    </w:p>
    <w:p>
      <w:pPr>
        <w:snapToGrid w:val="0"/>
        <w:spacing w:line="360" w:lineRule="auto"/>
        <w:ind w:firstLine="0" w:firstLineChars="0"/>
        <w:rPr>
          <w:rFonts w:hint="eastAsia" w:ascii="楷体" w:hAnsi="楷体" w:eastAsia="楷体" w:cs="楷体"/>
          <w:b/>
          <w:bCs/>
          <w:szCs w:val="21"/>
          <w:u w:val="none"/>
          <w:lang w:val="en-US" w:eastAsia="zh-CN"/>
        </w:rPr>
      </w:pPr>
      <w:r>
        <w:rPr>
          <w:rFonts w:hint="eastAsia" w:ascii="楷体" w:hAnsi="楷体" w:eastAsia="楷体" w:cs="楷体"/>
          <w:b/>
          <w:bCs/>
          <w:szCs w:val="21"/>
          <w:u w:val="none"/>
          <w:lang w:val="en-US" w:eastAsia="zh-CN"/>
        </w:rPr>
        <w:t>中国等国际组织或国家发布的监控名单或者制裁事项，或投资者或投资者重要关联方在使用金融服务中出现其他违反可适用法律法规的情况等，销售机构及管理人有权单方对投资者采取拒绝开户申请、限制交易、停止支付及终止账户业务等一项或多项措施，并可要求投资者配合尽职调查、补充证明文件或者在指定期限内办理销户及其他相关手续。投资者逾期未办理的，则视同自愿销户，此时销售机构及管理人可单方予以销户。销售机构及管理人因投资者出现本条所述的风险情况而采取上述措施所造成的责任和损失由投资者自行承担，给销售机构及管理人造成损失的，投资者应承担相应赔偿责任。其中，“重要关联方”包含“法定代表人、授权签字人、实际控制人、受益所有人、重要投资人、重要被投资人、重要债权人、被控制实体等”。</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在购买本理财产品前，投资者应仔细阅读本理财产品销售文件，确保自己已详细了解和审慎评估本理财产品的投资方向、风险等级等重要信息，完全理解该项投资的性质和所涉及的风险，并充分、慎重考虑自身的风险承受能力。投资者若对本产品《产品说明书》的内容有任何疑问，请向销售机构咨询。</w:t>
      </w:r>
    </w:p>
    <w:p>
      <w:pPr>
        <w:numPr>
          <w:ilvl w:val="12"/>
          <w:numId w:val="0"/>
        </w:num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8.</w:t>
      </w:r>
      <w:r>
        <w:rPr>
          <w:rFonts w:hint="eastAsia" w:ascii="楷体" w:hAnsi="楷体" w:eastAsia="楷体" w:cs="楷体"/>
          <w:b/>
          <w:bCs/>
          <w:szCs w:val="21"/>
          <w:u w:val="none"/>
        </w:rPr>
        <w:t>投资者认购或申购（如有）本理财产品的资金划出账户应与本理财产品到期或期间赎回（如有）接收资金的账户相同。在本理财产品存续期间，除非经管理人同意，该账户不得变更、注销。如发生投资者账户被有权机关采取司法强制措施的，投资者不得申请对投资者账户予以变更或注销。</w:t>
      </w:r>
    </w:p>
    <w:p>
      <w:pPr>
        <w:snapToGrid w:val="0"/>
        <w:spacing w:line="360" w:lineRule="auto"/>
        <w:ind w:firstLine="422" w:firstLineChars="200"/>
        <w:rPr>
          <w:rFonts w:hint="eastAsia" w:ascii="楷体" w:hAnsi="楷体" w:eastAsia="楷体" w:cs="楷体"/>
          <w:b/>
          <w:bCs/>
          <w:szCs w:val="21"/>
          <w:u w:val="none"/>
          <w:lang w:val="en-US" w:eastAsia="zh-CN"/>
        </w:rPr>
      </w:pPr>
      <w:r>
        <w:rPr>
          <w:rFonts w:hint="eastAsia" w:ascii="楷体" w:hAnsi="楷体" w:eastAsia="楷体" w:cs="楷体"/>
          <w:b/>
          <w:bCs/>
          <w:szCs w:val="21"/>
          <w:highlight w:val="none"/>
          <w:u w:val="none"/>
          <w:lang w:val="en-US" w:eastAsia="zh-CN"/>
        </w:rPr>
        <w:t>9</w:t>
      </w:r>
      <w:r>
        <w:rPr>
          <w:rFonts w:hint="eastAsia" w:ascii="楷体" w:hAnsi="楷体" w:eastAsia="楷体" w:cs="楷体"/>
          <w:b/>
          <w:bCs/>
          <w:szCs w:val="21"/>
          <w:highlight w:val="none"/>
          <w:u w:val="none"/>
        </w:rPr>
        <w:t>.在购买本理财产品后，投资者应随时关注本理财产品的信息披露情况，及时获取相关信息，相关信息通过</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lang w:val="en-US" w:eastAsia="zh-CN"/>
        </w:rPr>
        <w:t>产品说明书</w:t>
      </w:r>
      <w:r>
        <w:rPr>
          <w:rFonts w:hint="eastAsia" w:ascii="楷体" w:hAnsi="楷体" w:eastAsia="楷体" w:cs="楷体"/>
          <w:b/>
          <w:bCs/>
          <w:szCs w:val="21"/>
          <w:highlight w:val="none"/>
          <w:u w:val="none"/>
          <w:lang w:eastAsia="zh-CN"/>
        </w:rPr>
        <w:t>》</w:t>
      </w:r>
      <w:r>
        <w:rPr>
          <w:rFonts w:hint="eastAsia" w:ascii="楷体" w:hAnsi="楷体" w:eastAsia="楷体" w:cs="楷体"/>
          <w:b/>
          <w:bCs/>
          <w:szCs w:val="21"/>
          <w:highlight w:val="none"/>
          <w:u w:val="none"/>
        </w:rPr>
        <w:t>“信息披露”约定的方式披露。</w:t>
      </w:r>
    </w:p>
    <w:p>
      <w:pPr>
        <w:snapToGrid w:val="0"/>
        <w:spacing w:line="360" w:lineRule="auto"/>
        <w:ind w:firstLine="422" w:firstLineChars="200"/>
        <w:rPr>
          <w:rFonts w:hint="eastAsia" w:ascii="楷体" w:hAnsi="楷体" w:eastAsia="楷体" w:cs="楷体"/>
          <w:b/>
          <w:bCs/>
          <w:szCs w:val="21"/>
          <w:highlight w:val="lightGray"/>
          <w:u w:val="none"/>
          <w:lang w:val="en-US" w:eastAsia="zh-CN"/>
        </w:rPr>
      </w:pPr>
      <w:r>
        <w:rPr>
          <w:rFonts w:hint="eastAsia" w:ascii="楷体" w:hAnsi="楷体" w:eastAsia="楷体" w:cs="楷体"/>
          <w:b/>
          <w:bCs/>
          <w:szCs w:val="21"/>
          <w:u w:val="none"/>
          <w:lang w:val="en-US" w:eastAsia="zh-CN"/>
        </w:rPr>
        <w:t>10</w:t>
      </w:r>
      <w:r>
        <w:rPr>
          <w:rFonts w:hint="eastAsia" w:ascii="楷体" w:hAnsi="楷体" w:eastAsia="楷体" w:cs="楷体"/>
          <w:b/>
          <w:bCs/>
          <w:szCs w:val="21"/>
          <w:u w:val="none"/>
        </w:rPr>
        <w:t>.任何业绩比较基准或类似表述均属不具有法律约束力的用语，不代表投资者可能获得的实际收益，亦不构成管理人对本理财产品的任何收益承诺。客户所能获得的最终收益以管理人实际支付的为准。</w:t>
      </w:r>
    </w:p>
    <w:p>
      <w:pPr>
        <w:snapToGrid w:val="0"/>
        <w:spacing w:line="360" w:lineRule="auto"/>
        <w:ind w:firstLine="422" w:firstLineChars="200"/>
        <w:rPr>
          <w:rFonts w:hint="eastAsia" w:ascii="楷体" w:hAnsi="楷体" w:eastAsia="楷体" w:cs="楷体"/>
          <w:b/>
          <w:bCs/>
          <w:szCs w:val="21"/>
          <w:highlight w:val="none"/>
          <w:u w:val="none"/>
        </w:rPr>
      </w:pPr>
      <w:r>
        <w:rPr>
          <w:rFonts w:hint="eastAsia" w:ascii="楷体" w:hAnsi="楷体" w:eastAsia="楷体" w:cs="楷体"/>
          <w:b/>
          <w:bCs/>
          <w:szCs w:val="21"/>
          <w:highlight w:val="none"/>
          <w:u w:val="none"/>
          <w:lang w:val="en-US" w:eastAsia="zh-CN"/>
        </w:rPr>
        <w:t>11</w:t>
      </w:r>
      <w:r>
        <w:rPr>
          <w:rFonts w:hint="eastAsia" w:ascii="楷体" w:hAnsi="楷体" w:eastAsia="楷体" w:cs="楷体"/>
          <w:b/>
          <w:bCs/>
          <w:szCs w:val="21"/>
          <w:highlight w:val="none"/>
          <w:u w:val="none"/>
        </w:rPr>
        <w:t>.管理人承诺以诚实信用、勤勉尽责为原则，并根据本《产品说明书》所载要求管理和运用理财产品资产。</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lang w:val="en-US" w:eastAsia="zh-CN"/>
        </w:rPr>
        <w:t>12</w:t>
      </w:r>
      <w:r>
        <w:rPr>
          <w:rFonts w:hint="eastAsia" w:ascii="楷体" w:hAnsi="楷体" w:eastAsia="楷体" w:cs="楷体"/>
          <w:b/>
          <w:bCs/>
          <w:szCs w:val="21"/>
          <w:u w:val="none"/>
        </w:rPr>
        <w:t>.管理人对本理财产品的产品风险评级为</w:t>
      </w:r>
      <w:r>
        <w:rPr>
          <w:rFonts w:hint="eastAsia" w:ascii="楷体" w:hAnsi="楷体" w:eastAsia="楷体" w:cs="楷体"/>
          <w:b/>
          <w:bCs/>
          <w:color w:val="C00000"/>
          <w:szCs w:val="21"/>
          <w:u w:val="none"/>
        </w:rPr>
        <w:t>中低风险（二级风险</w:t>
      </w:r>
      <w:r>
        <w:rPr>
          <w:rFonts w:hint="eastAsia" w:ascii="楷体" w:hAnsi="楷体" w:eastAsia="楷体" w:cs="楷体"/>
          <w:b/>
          <w:bCs/>
          <w:color w:val="C00000"/>
          <w:szCs w:val="21"/>
          <w:u w:val="none"/>
          <w:lang w:eastAsia="zh-CN"/>
        </w:rPr>
        <w:t>）</w:t>
      </w:r>
      <w:r>
        <w:rPr>
          <w:rFonts w:hint="eastAsia" w:ascii="楷体" w:hAnsi="楷体" w:eastAsia="楷体" w:cs="楷体"/>
          <w:b/>
          <w:bCs/>
          <w:szCs w:val="21"/>
          <w:u w:val="none"/>
        </w:rPr>
        <w:t>，本理财产品通过</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销售机构销售的，</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销售机构应当根据销售机构的方式和方法，独立、审慎地对销售的本理财产品进行销售评级，销售评级与管理人评级结果不一致的，</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销售机构应当采用对应较高风险等级的评级结果并予以披露，本理财产品评级应当以</w:t>
      </w:r>
      <w:r>
        <w:rPr>
          <w:rFonts w:hint="eastAsia" w:ascii="楷体" w:hAnsi="楷体" w:eastAsia="楷体" w:cs="楷体"/>
          <w:b/>
          <w:bCs/>
          <w:szCs w:val="21"/>
          <w:u w:val="none"/>
          <w:lang w:val="en-US" w:eastAsia="zh-CN"/>
        </w:rPr>
        <w:t>代理</w:t>
      </w:r>
      <w:r>
        <w:rPr>
          <w:rFonts w:hint="eastAsia" w:ascii="楷体" w:hAnsi="楷体" w:eastAsia="楷体" w:cs="楷体"/>
          <w:b/>
          <w:bCs/>
          <w:szCs w:val="21"/>
          <w:u w:val="none"/>
        </w:rPr>
        <w:t>销售机构最终披露的评级结果为准。本理财</w:t>
      </w:r>
      <w:r>
        <w:rPr>
          <w:rFonts w:hint="eastAsia" w:ascii="楷体" w:hAnsi="楷体" w:eastAsia="楷体" w:cs="楷体"/>
          <w:b/>
          <w:bCs/>
          <w:szCs w:val="21"/>
          <w:u w:val="none"/>
          <w:lang w:val="en-US" w:eastAsia="zh-CN"/>
        </w:rPr>
        <w:t>产品</w:t>
      </w:r>
      <w:r>
        <w:rPr>
          <w:rFonts w:hint="eastAsia" w:ascii="楷体" w:hAnsi="楷体" w:eastAsia="楷体" w:cs="楷体"/>
          <w:b/>
          <w:bCs/>
          <w:szCs w:val="21"/>
          <w:u w:val="none"/>
        </w:rPr>
        <w:t>收益特征为</w:t>
      </w:r>
      <w:r>
        <w:rPr>
          <w:rFonts w:hint="eastAsia" w:ascii="楷体" w:hAnsi="楷体" w:eastAsia="楷体" w:cs="楷体"/>
          <w:b/>
          <w:bCs/>
          <w:color w:val="C00000"/>
          <w:szCs w:val="21"/>
          <w:u w:val="none"/>
        </w:rPr>
        <w:t>非保本浮动收益</w:t>
      </w:r>
      <w:r>
        <w:rPr>
          <w:rFonts w:hint="eastAsia" w:ascii="楷体" w:hAnsi="楷体" w:eastAsia="楷体" w:cs="楷体"/>
          <w:b/>
          <w:bCs/>
          <w:color w:val="C00000"/>
          <w:szCs w:val="21"/>
          <w:u w:val="none"/>
          <w:lang w:val="en-US" w:eastAsia="zh-CN"/>
        </w:rPr>
        <w:t>型</w:t>
      </w:r>
      <w:r>
        <w:rPr>
          <w:rFonts w:hint="eastAsia" w:ascii="楷体" w:hAnsi="楷体" w:eastAsia="楷体" w:cs="楷体"/>
          <w:b/>
          <w:bCs/>
          <w:szCs w:val="21"/>
          <w:u w:val="none"/>
        </w:rPr>
        <w:t>，您的本金有可能会因市场变动蒙受重大损失，您应充分认识投资风险，谨慎投资。</w:t>
      </w:r>
    </w:p>
    <w:p>
      <w:pPr>
        <w:numPr>
          <w:ilvl w:val="12"/>
          <w:numId w:val="0"/>
        </w:numPr>
        <w:spacing w:line="360" w:lineRule="auto"/>
        <w:ind w:firstLine="422" w:firstLineChars="200"/>
        <w:contextualSpacing/>
        <w:rPr>
          <w:rFonts w:hint="eastAsia" w:ascii="楷体" w:hAnsi="楷体" w:eastAsia="楷体" w:cs="楷体"/>
          <w:b/>
          <w:bCs/>
          <w:color w:val="auto"/>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color w:val="auto"/>
          <w:szCs w:val="21"/>
          <w:u w:val="none"/>
        </w:rPr>
        <w:t>在本理财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存续期内，如出于维持本理财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正常运营的需要且在不损害投资者利益的前提下，或因国家法律法规、监管规定发生变化，管理人有权单方对本理财</w:t>
      </w:r>
      <w:r>
        <w:rPr>
          <w:rFonts w:hint="eastAsia" w:ascii="楷体" w:hAnsi="楷体" w:eastAsia="楷体" w:cs="楷体"/>
          <w:b/>
          <w:bCs/>
          <w:color w:val="auto"/>
          <w:szCs w:val="21"/>
          <w:u w:val="none"/>
          <w:lang w:val="en-US" w:eastAsia="zh-CN"/>
        </w:rPr>
        <w:t>产品合同</w:t>
      </w:r>
      <w:r>
        <w:rPr>
          <w:rFonts w:hint="eastAsia" w:ascii="楷体" w:hAnsi="楷体" w:eastAsia="楷体" w:cs="楷体"/>
          <w:b/>
          <w:bCs/>
          <w:color w:val="auto"/>
          <w:szCs w:val="21"/>
          <w:u w:val="none"/>
        </w:rPr>
        <w:t>进行修订。管理人决定对</w:t>
      </w:r>
      <w:r>
        <w:rPr>
          <w:rFonts w:hint="eastAsia" w:ascii="楷体" w:hAnsi="楷体" w:eastAsia="楷体" w:cs="楷体"/>
          <w:b/>
          <w:bCs/>
          <w:color w:val="auto"/>
          <w:szCs w:val="21"/>
          <w:u w:val="none"/>
          <w:lang w:val="en-US" w:eastAsia="zh-CN"/>
        </w:rPr>
        <w:t>理财</w:t>
      </w:r>
      <w:r>
        <w:rPr>
          <w:rFonts w:hint="eastAsia" w:ascii="楷体" w:hAnsi="楷体" w:eastAsia="楷体" w:cs="楷体"/>
          <w:b/>
          <w:bCs/>
          <w:color w:val="auto"/>
          <w:szCs w:val="21"/>
          <w:u w:val="none"/>
        </w:rPr>
        <w:t>产品</w:t>
      </w:r>
      <w:r>
        <w:rPr>
          <w:rFonts w:hint="eastAsia" w:ascii="楷体" w:hAnsi="楷体" w:eastAsia="楷体" w:cs="楷体"/>
          <w:b/>
          <w:bCs/>
          <w:color w:val="auto"/>
          <w:szCs w:val="21"/>
          <w:u w:val="none"/>
          <w:lang w:val="en-US" w:eastAsia="zh-CN"/>
        </w:rPr>
        <w:t>合同</w:t>
      </w:r>
      <w:r>
        <w:rPr>
          <w:rFonts w:hint="eastAsia" w:ascii="楷体" w:hAnsi="楷体" w:eastAsia="楷体" w:cs="楷体"/>
          <w:b/>
          <w:bCs/>
          <w:color w:val="auto"/>
          <w:szCs w:val="21"/>
          <w:u w:val="none"/>
        </w:rPr>
        <w:t>进行修订的，将提前</w:t>
      </w:r>
      <w:r>
        <w:rPr>
          <w:rFonts w:hint="eastAsia" w:ascii="楷体" w:hAnsi="楷体" w:eastAsia="楷体" w:cs="楷体"/>
          <w:b/>
          <w:bCs/>
          <w:color w:val="auto"/>
          <w:szCs w:val="21"/>
          <w:u w:val="none"/>
          <w:lang w:val="en-US" w:eastAsia="zh-CN"/>
        </w:rPr>
        <w:t>2</w:t>
      </w:r>
      <w:r>
        <w:rPr>
          <w:rFonts w:hint="eastAsia" w:ascii="楷体" w:hAnsi="楷体" w:eastAsia="楷体" w:cs="楷体"/>
          <w:b/>
          <w:bCs/>
          <w:color w:val="auto"/>
          <w:szCs w:val="21"/>
          <w:u w:val="none"/>
        </w:rPr>
        <w:t>个工作日通过</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信息披露</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章节约定的信息披露渠道发布相关信息公告通知投资者。修订后的</w:t>
      </w:r>
      <w:r>
        <w:rPr>
          <w:rFonts w:hint="eastAsia" w:ascii="楷体" w:hAnsi="楷体" w:eastAsia="楷体" w:cs="楷体"/>
          <w:b/>
          <w:bCs/>
          <w:color w:val="auto"/>
          <w:szCs w:val="21"/>
          <w:u w:val="none"/>
          <w:lang w:val="en-US" w:eastAsia="zh-CN"/>
        </w:rPr>
        <w:t>理财产品合同</w:t>
      </w:r>
      <w:r>
        <w:rPr>
          <w:rFonts w:hint="eastAsia" w:ascii="楷体" w:hAnsi="楷体" w:eastAsia="楷体" w:cs="楷体"/>
          <w:b/>
          <w:bCs/>
          <w:color w:val="auto"/>
          <w:szCs w:val="21"/>
          <w:u w:val="none"/>
        </w:rPr>
        <w:t>对投资者具有法律约束力。</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4</w:t>
      </w:r>
      <w:r>
        <w:rPr>
          <w:rFonts w:hint="eastAsia" w:ascii="楷体" w:hAnsi="楷体" w:eastAsia="楷体" w:cs="楷体"/>
          <w:b/>
          <w:bCs/>
          <w:szCs w:val="21"/>
          <w:u w:val="none"/>
        </w:rPr>
        <w:t>.为贯彻落实银行业理财登记托管中心发布的《&lt;中国银行保险监督管理委员会办公厅关于进一步做好银行理财登记工作有关事项的通知&gt;实施细则》（理财中心发〔2018〕18号）文件的精神及相关实施细则及《银行业理财登记托管中心关于&lt;中国银保监会办公厅关于印发银行业金融机构监管数据标准化规范（2019版）&gt;数据报送工作的通知》的要求，管理人将向监管机构报送投资者身份信息、每日交易、持仓等信息。后续监管机构和银行业理财登记托管中心等机构如果提出新的信息报送要求，管理人将按照该等要求执行。投资者签署本理财产品销售文件即视为已经同意管理人将投资者身份信息及每日持仓信息报送相关监管机构。</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根据监管机构要求，本理财产品的投资合作机构（包括但不限于理财产品所投资资产管理产品的发行机构、根据合同约定从事理财产品受托投资的机构以及与理财产品投资管理相关的投资顾问等，下同）有可能需要向监管机构报送投资者身份信息、持仓信息等相关信息，管理人将根据上述机构申请，在必要范围内向其提供相关信息，并要求该等投资合作机构履行投资者信息保密义务。投资者签署本理财产品销售文件即视为已经同意管理人在前述范围内向相关方提供投资者身份信息、持仓信息等相关信息。</w:t>
      </w:r>
    </w:p>
    <w:p>
      <w:pPr>
        <w:snapToGrid w:val="0"/>
        <w:spacing w:line="360" w:lineRule="auto"/>
        <w:ind w:firstLine="422" w:firstLineChars="200"/>
        <w:rPr>
          <w:rFonts w:hint="eastAsia" w:ascii="楷体" w:hAnsi="楷体" w:eastAsia="楷体" w:cs="楷体"/>
          <w:b/>
          <w:bCs/>
          <w:szCs w:val="21"/>
          <w:u w:val="none"/>
          <w:lang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r>
        <w:rPr>
          <w:rFonts w:hint="eastAsia" w:ascii="楷体" w:hAnsi="楷体" w:eastAsia="楷体" w:cs="楷体"/>
          <w:b/>
          <w:bCs/>
          <w:szCs w:val="21"/>
          <w:u w:val="none"/>
          <w:lang w:eastAsia="zh-CN"/>
        </w:rPr>
        <w:t>。</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u w:val="none"/>
        </w:rPr>
        <w:t>本理财产品</w:t>
      </w:r>
      <w:r>
        <w:rPr>
          <w:rFonts w:hint="eastAsia" w:ascii="楷体" w:hAnsi="楷体" w:eastAsia="楷体" w:cs="楷体"/>
          <w:b/>
          <w:bCs/>
          <w:u w:val="none"/>
          <w:lang w:val="en-US" w:eastAsia="zh-CN"/>
        </w:rPr>
        <w:t>合同</w:t>
      </w:r>
      <w:r>
        <w:rPr>
          <w:rFonts w:hint="eastAsia" w:ascii="楷体" w:hAnsi="楷体" w:eastAsia="楷体" w:cs="楷体"/>
          <w:b/>
          <w:bCs/>
          <w:u w:val="none"/>
        </w:rPr>
        <w:t>在法律许可的范围内由管理人负责解释。若客户对上述内容有任何疑问，请联系销售机构</w:t>
      </w:r>
      <w:r>
        <w:rPr>
          <w:rFonts w:hint="eastAsia" w:ascii="楷体" w:hAnsi="楷体" w:eastAsia="楷体" w:cs="楷体"/>
          <w:b/>
          <w:bCs/>
          <w:u w:val="none"/>
          <w:lang w:val="en-US" w:eastAsia="zh-CN"/>
        </w:rPr>
        <w:t>咨询</w:t>
      </w:r>
      <w:r>
        <w:rPr>
          <w:rFonts w:hint="eastAsia" w:ascii="楷体" w:hAnsi="楷体" w:eastAsia="楷体" w:cs="楷体"/>
          <w:b/>
          <w:bCs/>
          <w:u w:val="none"/>
        </w:rPr>
        <w:t>，也可致电销售机构全国统一客户服务热线。</w:t>
      </w:r>
    </w:p>
    <w:p>
      <w:pPr>
        <w:pStyle w:val="2"/>
        <w:spacing w:before="120" w:after="120" w:line="240" w:lineRule="auto"/>
        <w:rPr>
          <w:rFonts w:ascii="楷体" w:hAnsi="楷体" w:eastAsia="楷体"/>
          <w:sz w:val="28"/>
          <w:szCs w:val="28"/>
          <w:u w:val="none"/>
        </w:rPr>
      </w:pPr>
      <w:r>
        <w:rPr>
          <w:rFonts w:hint="eastAsia" w:ascii="楷体" w:hAnsi="楷体" w:eastAsia="楷体"/>
          <w:sz w:val="28"/>
          <w:szCs w:val="28"/>
          <w:u w:val="none"/>
        </w:rPr>
        <w:t>二、定义解释</w:t>
      </w:r>
    </w:p>
    <w:p>
      <w:pPr>
        <w:snapToGrid w:val="0"/>
        <w:spacing w:line="360" w:lineRule="auto"/>
        <w:ind w:firstLine="420" w:firstLineChars="200"/>
        <w:rPr>
          <w:rFonts w:hint="eastAsia" w:ascii="楷体" w:hAnsi="楷体" w:eastAsia="楷体" w:cs="楷体"/>
          <w:b w:val="0"/>
          <w:bCs w:val="0"/>
          <w:szCs w:val="21"/>
          <w:u w:val="none"/>
        </w:rPr>
      </w:pPr>
      <w:r>
        <w:rPr>
          <w:rFonts w:hint="eastAsia" w:ascii="楷体" w:hAnsi="楷体" w:eastAsia="楷体" w:cs="楷体"/>
          <w:b w:val="0"/>
          <w:bCs w:val="0"/>
          <w:szCs w:val="21"/>
          <w:u w:val="none"/>
        </w:rPr>
        <w:t>在本《产品说明书》中，除上下文另有明确约定，下列用词将具有如下含义：</w:t>
      </w:r>
    </w:p>
    <w:p>
      <w:pPr>
        <w:pStyle w:val="3"/>
        <w:snapToGrid w:val="0"/>
        <w:spacing w:before="0" w:after="0" w:line="360" w:lineRule="auto"/>
        <w:ind w:firstLine="422" w:firstLineChars="200"/>
        <w:rPr>
          <w:rFonts w:hint="eastAsia" w:ascii="楷体" w:hAnsi="楷体" w:eastAsia="楷体" w:cs="楷体"/>
          <w:sz w:val="21"/>
          <w:szCs w:val="21"/>
          <w:u w:val="none"/>
        </w:rPr>
      </w:pPr>
      <w:r>
        <w:rPr>
          <w:rFonts w:hint="eastAsia" w:ascii="楷体" w:hAnsi="楷体" w:eastAsia="楷体" w:cs="楷体"/>
          <w:sz w:val="21"/>
          <w:szCs w:val="21"/>
          <w:u w:val="none"/>
        </w:rPr>
        <w:t>（一）参与主体</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1</w:t>
      </w:r>
      <w:r>
        <w:rPr>
          <w:rFonts w:hint="eastAsia" w:ascii="楷体" w:hAnsi="楷体" w:eastAsia="楷体" w:cs="楷体"/>
          <w:b/>
          <w:bCs/>
          <w:szCs w:val="21"/>
          <w:u w:val="none"/>
        </w:rPr>
        <w:t>.</w:t>
      </w:r>
      <w:r>
        <w:rPr>
          <w:rFonts w:hint="eastAsia" w:ascii="楷体" w:hAnsi="楷体" w:eastAsia="楷体" w:cs="楷体"/>
          <w:b/>
          <w:bCs/>
          <w:spacing w:val="6"/>
          <w:szCs w:val="21"/>
          <w:u w:val="none"/>
        </w:rPr>
        <w:t>管理人/投资管理人/理财产品管理</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u w:val="none"/>
        </w:rPr>
        <w:t>指上银理财</w:t>
      </w:r>
      <w:r>
        <w:rPr>
          <w:rFonts w:hint="eastAsia" w:ascii="楷体" w:hAnsi="楷体" w:eastAsia="楷体" w:cs="楷体"/>
          <w:b w:val="0"/>
          <w:bCs w:val="0"/>
          <w:szCs w:val="21"/>
          <w:u w:val="none"/>
          <w:lang w:val="en-US" w:eastAsia="zh-CN"/>
        </w:rPr>
        <w:t>有限责任公司（以下简称“上银理财”）</w:t>
      </w:r>
      <w:r>
        <w:rPr>
          <w:rFonts w:hint="eastAsia" w:ascii="楷体" w:hAnsi="楷体" w:eastAsia="楷体" w:cs="楷体"/>
          <w:b w:val="0"/>
          <w:bCs w:val="0"/>
          <w:szCs w:val="21"/>
          <w:u w:val="none"/>
        </w:rPr>
        <w:t>。</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w:t>
      </w:r>
      <w:r>
        <w:rPr>
          <w:rFonts w:hint="eastAsia" w:ascii="楷体" w:hAnsi="楷体" w:eastAsia="楷体" w:cs="楷体"/>
          <w:b/>
          <w:bCs/>
          <w:spacing w:val="6"/>
          <w:szCs w:val="21"/>
          <w:u w:val="none"/>
        </w:rPr>
        <w:t>托管人</w:t>
      </w:r>
      <w:r>
        <w:rPr>
          <w:rFonts w:hint="eastAsia" w:ascii="楷体" w:hAnsi="楷体" w:eastAsia="楷体" w:cs="楷体"/>
          <w:b/>
          <w:bCs/>
          <w:spacing w:val="6"/>
          <w:szCs w:val="21"/>
          <w:u w:val="none"/>
          <w:lang w:val="en-US" w:eastAsia="zh-CN"/>
        </w:rPr>
        <w:t>/产品托管人/理财产品托管</w:t>
      </w:r>
      <w:r>
        <w:rPr>
          <w:rFonts w:hint="eastAsia" w:ascii="楷体" w:hAnsi="楷体" w:eastAsia="楷体" w:cs="楷体"/>
          <w:b/>
          <w:bCs/>
          <w:spacing w:val="23"/>
          <w:sz w:val="21"/>
          <w:szCs w:val="21"/>
          <w:u w:val="none"/>
          <w:lang w:val="en-US" w:eastAsia="zh-CN"/>
        </w:rPr>
        <w:t>人</w:t>
      </w:r>
      <w:r>
        <w:rPr>
          <w:rFonts w:hint="eastAsia" w:ascii="楷体" w:hAnsi="楷体" w:eastAsia="楷体" w:cs="楷体"/>
          <w:b/>
          <w:bCs/>
          <w:spacing w:val="23"/>
          <w:sz w:val="21"/>
          <w:szCs w:val="21"/>
          <w:u w:val="none"/>
        </w:rPr>
        <w:t>：</w:t>
      </w:r>
      <w:r>
        <w:rPr>
          <w:rFonts w:hint="eastAsia" w:ascii="楷体" w:hAnsi="楷体" w:eastAsia="楷体" w:cs="楷体"/>
          <w:b w:val="0"/>
          <w:bCs w:val="0"/>
          <w:szCs w:val="21"/>
          <w:u w:val="none"/>
        </w:rPr>
        <w:t>指</w:t>
      </w:r>
      <w:r>
        <w:rPr>
          <w:rFonts w:hint="eastAsia" w:ascii="楷体" w:hAnsi="楷体" w:eastAsia="楷体" w:cs="楷体"/>
          <w:color w:val="000000" w:themeColor="text1"/>
          <w:szCs w:val="21"/>
          <w14:textFill>
            <w14:solidFill>
              <w14:schemeClr w14:val="tx1"/>
            </w14:solidFill>
          </w14:textFill>
        </w:rPr>
        <w:t>【上海银行股份有限公司】</w:t>
      </w:r>
      <w:r>
        <w:rPr>
          <w:rFonts w:hint="eastAsia" w:ascii="楷体" w:hAnsi="楷体" w:eastAsia="楷体" w:cs="楷体"/>
          <w:b w:val="0"/>
          <w:bCs w:val="0"/>
          <w:szCs w:val="21"/>
          <w:u w:val="none"/>
        </w:rPr>
        <w:t>。</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spacing w:val="6"/>
          <w:szCs w:val="21"/>
          <w:u w:val="none"/>
        </w:rPr>
        <w:t>销售机</w:t>
      </w:r>
      <w:r>
        <w:rPr>
          <w:rFonts w:hint="eastAsia" w:ascii="楷体" w:hAnsi="楷体" w:eastAsia="楷体" w:cs="楷体"/>
          <w:b/>
          <w:bCs/>
          <w:spacing w:val="23"/>
          <w:sz w:val="21"/>
          <w:szCs w:val="21"/>
          <w:u w:val="none"/>
        </w:rPr>
        <w:t>构：</w:t>
      </w:r>
      <w:r>
        <w:rPr>
          <w:rFonts w:hint="eastAsia" w:ascii="楷体" w:hAnsi="楷体" w:eastAsia="楷体" w:cs="楷体"/>
          <w:b w:val="0"/>
          <w:bCs w:val="0"/>
          <w:szCs w:val="21"/>
          <w:u w:val="none"/>
          <w:lang w:val="en-US" w:eastAsia="zh-CN"/>
        </w:rPr>
        <w:t>指管理人指定的销售本理财产品的机构，包括管理人和代理销售机构。</w:t>
      </w:r>
    </w:p>
    <w:p>
      <w:pPr>
        <w:snapToGrid w:val="0"/>
        <w:spacing w:line="360" w:lineRule="auto"/>
        <w:ind w:firstLine="422" w:firstLineChars="200"/>
        <w:rPr>
          <w:rFonts w:hint="eastAsia" w:ascii="楷体" w:hAnsi="楷体" w:eastAsia="楷体" w:cs="楷体"/>
          <w:b w:val="0"/>
          <w:bCs w:val="0"/>
          <w:szCs w:val="21"/>
          <w:highlight w:val="none"/>
          <w:u w:val="none"/>
        </w:rPr>
      </w:pPr>
      <w:r>
        <w:rPr>
          <w:rFonts w:hint="eastAsia" w:ascii="楷体" w:hAnsi="楷体" w:eastAsia="楷体" w:cs="楷体"/>
          <w:b/>
          <w:bCs/>
          <w:szCs w:val="21"/>
          <w:highlight w:val="none"/>
          <w:u w:val="none"/>
          <w:lang w:eastAsia="zh-CN"/>
        </w:rPr>
        <w:t>4</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认购</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highlight w:val="none"/>
          <w:u w:val="none"/>
        </w:rPr>
        <w:t>指在产品认购期内签署理财产品销售文件并向理财产品管理人交付认购资金以购买理财产品份额的投资者。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u w:val="none"/>
        </w:rPr>
        <w:t>申购</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u w:val="none"/>
        </w:rPr>
        <w:t>指在产品申购期内签署理财产品销售文件并向理财产品管理人交付申购资金以购买理财产品份额的投资者。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理财产品份额持有人/持有</w:t>
      </w:r>
      <w:r>
        <w:rPr>
          <w:rFonts w:hint="eastAsia" w:ascii="楷体" w:hAnsi="楷体" w:eastAsia="楷体" w:cs="楷体"/>
          <w:b/>
          <w:bCs/>
          <w:spacing w:val="23"/>
          <w:sz w:val="21"/>
          <w:szCs w:val="21"/>
          <w:u w:val="none"/>
        </w:rPr>
        <w:t>人：</w:t>
      </w:r>
      <w:r>
        <w:rPr>
          <w:rFonts w:hint="eastAsia" w:ascii="楷体" w:hAnsi="楷体" w:eastAsia="楷体" w:cs="楷体"/>
          <w:b w:val="0"/>
          <w:bCs w:val="0"/>
          <w:szCs w:val="21"/>
          <w:u w:val="none"/>
        </w:rPr>
        <w:t>指其认购/申购申请经过管理人确认成功，从而持有理财产品份额的投资者。</w:t>
      </w:r>
    </w:p>
    <w:p>
      <w:pPr>
        <w:snapToGrid w:val="0"/>
        <w:spacing w:line="360" w:lineRule="auto"/>
        <w:ind w:firstLine="422" w:firstLineChars="200"/>
        <w:rPr>
          <w:rFonts w:hint="eastAsia" w:ascii="楷体" w:hAnsi="楷体" w:eastAsia="楷体" w:cs="楷体"/>
          <w:b w:val="0"/>
          <w:bCs w:val="0"/>
          <w:szCs w:val="21"/>
        </w:rPr>
      </w:pPr>
      <w:r>
        <w:rPr>
          <w:rFonts w:hint="eastAsia" w:ascii="楷体" w:hAnsi="楷体" w:eastAsia="楷体" w:cs="楷体"/>
          <w:b/>
          <w:bCs/>
          <w:color w:val="auto"/>
          <w:szCs w:val="21"/>
          <w:u w:val="none"/>
          <w:lang w:val="en-US" w:eastAsia="zh-CN"/>
        </w:rPr>
        <w:t>7</w:t>
      </w:r>
      <w:r>
        <w:rPr>
          <w:rFonts w:hint="eastAsia" w:ascii="楷体" w:hAnsi="楷体" w:eastAsia="楷体" w:cs="楷体"/>
          <w:b/>
          <w:bCs/>
          <w:color w:val="auto"/>
          <w:szCs w:val="21"/>
          <w:u w:val="none"/>
        </w:rPr>
        <w:t>.</w:t>
      </w:r>
      <w:r>
        <w:rPr>
          <w:rFonts w:hint="eastAsia" w:ascii="楷体" w:hAnsi="楷体" w:eastAsia="楷体" w:cs="楷体"/>
          <w:b/>
          <w:bCs/>
          <w:spacing w:val="6"/>
          <w:sz w:val="21"/>
          <w:szCs w:val="21"/>
          <w:lang w:val="en-US" w:eastAsia="zh-CN"/>
        </w:rPr>
        <w:t>投资合作机构</w:t>
      </w:r>
      <w:r>
        <w:rPr>
          <w:rFonts w:hint="eastAsia" w:ascii="楷体" w:hAnsi="楷体" w:eastAsia="楷体" w:cs="楷体"/>
          <w:b/>
          <w:bCs/>
          <w:spacing w:val="20"/>
          <w:sz w:val="21"/>
          <w:szCs w:val="21"/>
        </w:rPr>
        <w:t>：</w:t>
      </w:r>
      <w:r>
        <w:rPr>
          <w:rFonts w:hint="eastAsia" w:ascii="楷体" w:hAnsi="楷体" w:eastAsia="楷体" w:cs="楷体"/>
          <w:b w:val="0"/>
          <w:bCs w:val="0"/>
          <w:szCs w:val="21"/>
          <w:lang w:val="en-US" w:eastAsia="zh-CN"/>
        </w:rPr>
        <w:t>包括但不限于理财产品所投资资产管理产品的发行机构、根据合同约定从事理财产品受托投资的机构以及与理财产品投资管理相关的投资顾问等</w:t>
      </w:r>
      <w:r>
        <w:rPr>
          <w:rFonts w:hint="eastAsia" w:ascii="楷体" w:hAnsi="楷体" w:eastAsia="楷体" w:cs="楷体"/>
          <w:b w:val="0"/>
          <w:bCs w:val="0"/>
          <w:szCs w:val="21"/>
          <w:lang w:eastAsia="zh-CN"/>
        </w:rPr>
        <w:t>；主要职责为进行受托资金的投资管理，根据合同约定从事受托投资或提供投资顾问等服务，具体职责以管理人与投资合作机构签署的合同为准。</w:t>
      </w:r>
    </w:p>
    <w:p>
      <w:pPr>
        <w:snapToGrid w:val="0"/>
        <w:spacing w:line="360" w:lineRule="auto"/>
        <w:ind w:firstLine="422" w:firstLineChars="200"/>
        <w:rPr>
          <w:rFonts w:hint="eastAsia" w:ascii="楷体" w:hAnsi="楷体" w:eastAsia="楷体" w:cs="楷体"/>
          <w:b w:val="0"/>
          <w:bCs w:val="0"/>
          <w:color w:val="auto"/>
          <w:szCs w:val="21"/>
          <w:u w:val="none"/>
        </w:rPr>
      </w:pPr>
      <w:r>
        <w:rPr>
          <w:rFonts w:hint="eastAsia" w:ascii="楷体" w:hAnsi="楷体" w:eastAsia="楷体" w:cs="楷体"/>
          <w:b/>
          <w:bCs/>
          <w:szCs w:val="21"/>
          <w:lang w:val="en-US" w:eastAsia="zh-CN"/>
        </w:rPr>
        <w:t>8</w:t>
      </w:r>
      <w:r>
        <w:rPr>
          <w:rFonts w:hint="eastAsia" w:ascii="楷体" w:hAnsi="楷体" w:eastAsia="楷体" w:cs="楷体"/>
          <w:b/>
          <w:bCs/>
          <w:szCs w:val="21"/>
        </w:rPr>
        <w:t>.</w:t>
      </w:r>
      <w:r>
        <w:rPr>
          <w:rFonts w:hint="eastAsia" w:ascii="楷体" w:hAnsi="楷体" w:eastAsia="楷体" w:cs="楷体"/>
          <w:b/>
          <w:bCs/>
          <w:color w:val="auto"/>
          <w:spacing w:val="6"/>
          <w:szCs w:val="21"/>
          <w:u w:val="none"/>
        </w:rPr>
        <w:t>监管机</w:t>
      </w:r>
      <w:r>
        <w:rPr>
          <w:rFonts w:hint="eastAsia" w:ascii="楷体" w:hAnsi="楷体" w:eastAsia="楷体" w:cs="楷体"/>
          <w:b/>
          <w:bCs/>
          <w:spacing w:val="23"/>
          <w:sz w:val="21"/>
          <w:szCs w:val="21"/>
          <w:u w:val="none"/>
        </w:rPr>
        <w:t>构：</w:t>
      </w:r>
      <w:r>
        <w:rPr>
          <w:rFonts w:hint="eastAsia" w:ascii="楷体" w:hAnsi="楷体" w:eastAsia="楷体" w:cs="楷体"/>
          <w:b w:val="0"/>
          <w:bCs w:val="0"/>
          <w:color w:val="auto"/>
          <w:szCs w:val="21"/>
          <w:u w:val="none"/>
        </w:rPr>
        <w:t>指对管理人（包括本理财产品的管理人、所投资的信托计划/资管计划/基金的管理人/受托人、相关投资顾问（如有）等）实施监督管理的机构，包括但不限于中国人民银行、</w:t>
      </w:r>
      <w:r>
        <w:rPr>
          <w:rFonts w:hint="eastAsia" w:ascii="楷体" w:hAnsi="楷体" w:eastAsia="楷体" w:cs="楷体"/>
          <w:b w:val="0"/>
          <w:bCs w:val="0"/>
          <w:szCs w:val="21"/>
          <w:u w:val="none"/>
        </w:rPr>
        <w:t>国家金融监督管理总局</w:t>
      </w:r>
      <w:r>
        <w:rPr>
          <w:rFonts w:hint="eastAsia" w:ascii="楷体" w:hAnsi="楷体" w:eastAsia="楷体" w:cs="楷体"/>
          <w:b w:val="0"/>
          <w:bCs w:val="0"/>
          <w:color w:val="auto"/>
          <w:szCs w:val="21"/>
          <w:u w:val="none"/>
        </w:rPr>
        <w:t>、中国证券监督管理委员会、外汇管理局、银行业理财登记托管中心等。</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（二）法律文件</w:t>
      </w:r>
    </w:p>
    <w:p>
      <w:pPr>
        <w:snapToGrid w:val="0"/>
        <w:spacing w:line="360" w:lineRule="auto"/>
        <w:ind w:firstLine="422" w:firstLineChars="200"/>
        <w:rPr>
          <w:rFonts w:hint="eastAsia" w:ascii="楷体" w:hAnsi="楷体" w:eastAsia="楷体" w:cs="楷体"/>
          <w:b w:val="0"/>
          <w:bCs w:val="0"/>
          <w:highlight w:val="none"/>
          <w:u w:val="none"/>
        </w:rPr>
      </w:pPr>
      <w:r>
        <w:rPr>
          <w:rFonts w:hint="eastAsia" w:ascii="楷体" w:hAnsi="楷体" w:eastAsia="楷体" w:cs="楷体"/>
          <w:b/>
          <w:bCs/>
          <w:szCs w:val="21"/>
          <w:highlight w:val="none"/>
          <w:u w:val="none"/>
          <w:lang w:val="en-US" w:eastAsia="zh-CN"/>
        </w:rPr>
        <w:t>1</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lang w:val="en-US" w:eastAsia="zh-CN"/>
        </w:rPr>
        <w:t>理财产品</w:t>
      </w:r>
      <w:r>
        <w:rPr>
          <w:rFonts w:hint="eastAsia" w:ascii="楷体" w:hAnsi="楷体" w:eastAsia="楷体" w:cs="楷体"/>
          <w:b/>
          <w:bCs/>
          <w:spacing w:val="6"/>
          <w:szCs w:val="21"/>
          <w:highlight w:val="none"/>
          <w:u w:val="none"/>
        </w:rPr>
        <w:t>销售文件</w:t>
      </w:r>
      <w:r>
        <w:rPr>
          <w:rFonts w:hint="eastAsia" w:ascii="楷体" w:hAnsi="楷体" w:eastAsia="楷体" w:cs="楷体"/>
          <w:b/>
          <w:bCs/>
          <w:spacing w:val="6"/>
          <w:szCs w:val="21"/>
          <w:highlight w:val="none"/>
          <w:u w:val="none"/>
          <w:lang w:val="en-US" w:eastAsia="zh-CN"/>
        </w:rPr>
        <w:t>/销售文</w:t>
      </w:r>
      <w:r>
        <w:rPr>
          <w:rFonts w:hint="eastAsia" w:ascii="楷体" w:hAnsi="楷体" w:eastAsia="楷体" w:cs="楷体"/>
          <w:b/>
          <w:bCs/>
          <w:spacing w:val="23"/>
          <w:sz w:val="21"/>
          <w:szCs w:val="21"/>
          <w:u w:val="none"/>
          <w:lang w:val="en-US" w:eastAsia="zh-CN"/>
        </w:rPr>
        <w:t>件</w:t>
      </w:r>
      <w:r>
        <w:rPr>
          <w:rFonts w:hint="eastAsia" w:ascii="楷体" w:hAnsi="楷体" w:eastAsia="楷体" w:cs="楷体"/>
          <w:b/>
          <w:bCs/>
          <w:spacing w:val="23"/>
          <w:sz w:val="21"/>
          <w:szCs w:val="21"/>
          <w:u w:val="none"/>
        </w:rPr>
        <w:t>：</w:t>
      </w:r>
      <w:r>
        <w:rPr>
          <w:rFonts w:hint="eastAsia" w:ascii="楷体" w:hAnsi="楷体" w:eastAsia="楷体" w:cs="楷体"/>
          <w:b w:val="0"/>
          <w:bCs w:val="0"/>
          <w:szCs w:val="21"/>
          <w:highlight w:val="none"/>
          <w:u w:val="none"/>
        </w:rPr>
        <w:t>指《产品说明书》、《风险揭示书》、《投资协议书》、《销售（代理销售）协议书》和《投资者权益须知》的总称。</w:t>
      </w:r>
    </w:p>
    <w:p>
      <w:pPr>
        <w:snapToGrid w:val="0"/>
        <w:spacing w:line="360" w:lineRule="auto"/>
        <w:ind w:firstLine="422" w:firstLineChars="200"/>
        <w:rPr>
          <w:rFonts w:hint="eastAsia" w:ascii="楷体" w:hAnsi="楷体" w:eastAsia="楷体" w:cs="楷体"/>
          <w:b w:val="0"/>
          <w:bCs w:val="0"/>
          <w:u w:val="none"/>
        </w:rPr>
      </w:pP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理财产品合</w:t>
      </w:r>
      <w:r>
        <w:rPr>
          <w:rFonts w:hint="eastAsia" w:ascii="楷体" w:hAnsi="楷体" w:eastAsia="楷体" w:cs="楷体"/>
          <w:b/>
          <w:bCs/>
          <w:spacing w:val="23"/>
          <w:sz w:val="21"/>
          <w:szCs w:val="21"/>
          <w:u w:val="none"/>
        </w:rPr>
        <w:t>同：</w:t>
      </w:r>
      <w:r>
        <w:rPr>
          <w:rFonts w:hint="eastAsia" w:ascii="楷体" w:hAnsi="楷体" w:eastAsia="楷体" w:cs="楷体"/>
          <w:b w:val="0"/>
          <w:bCs w:val="0"/>
          <w:szCs w:val="21"/>
          <w:u w:val="none"/>
        </w:rPr>
        <w:t>指《产品说明书》、《风险揭示书》和《投资协议书》的总称。</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spacing w:val="6"/>
          <w:szCs w:val="21"/>
          <w:u w:val="none"/>
        </w:rPr>
        <w:t>《产品说明书》：</w:t>
      </w:r>
      <w:r>
        <w:rPr>
          <w:rFonts w:hint="eastAsia" w:ascii="楷体" w:hAnsi="楷体" w:eastAsia="楷体" w:cs="楷体"/>
          <w:b w:val="0"/>
          <w:bCs w:val="0"/>
          <w:szCs w:val="21"/>
          <w:u w:val="none"/>
        </w:rPr>
        <w:t>指《</w:t>
      </w:r>
      <w:r>
        <w:rPr>
          <w:rFonts w:hint="eastAsia" w:ascii="楷体" w:hAnsi="楷体" w:eastAsia="楷体" w:cs="楷体"/>
          <w:b w:val="0"/>
          <w:bCs w:val="0"/>
          <w:szCs w:val="21"/>
          <w:highlight w:val="none"/>
          <w:u w:val="none"/>
          <w:lang w:val="en-US" w:eastAsia="zh-CN"/>
        </w:rPr>
        <w:t>【上银理财“易享利”系列开放式持有期理财产品WPEK26M0329期】</w:t>
      </w:r>
      <w:r>
        <w:rPr>
          <w:rFonts w:hint="eastAsia" w:ascii="楷体" w:hAnsi="楷体" w:eastAsia="楷体" w:cs="楷体"/>
          <w:b w:val="0"/>
          <w:bCs w:val="0"/>
          <w:szCs w:val="21"/>
          <w:u w:val="none"/>
        </w:rPr>
        <w:t>产品说明书》，以及对该文件的有效修改或补充。</w:t>
      </w:r>
    </w:p>
    <w:p>
      <w:pPr>
        <w:snapToGrid w:val="0"/>
        <w:spacing w:line="360" w:lineRule="auto"/>
        <w:ind w:firstLine="422" w:firstLineChars="200"/>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4</w:t>
      </w:r>
      <w:r>
        <w:rPr>
          <w:rFonts w:hint="eastAsia" w:ascii="楷体" w:hAnsi="楷体" w:eastAsia="楷体" w:cs="楷体"/>
          <w:b/>
          <w:bCs/>
          <w:szCs w:val="21"/>
          <w:u w:val="none"/>
        </w:rPr>
        <w:t>.</w:t>
      </w:r>
      <w:r>
        <w:rPr>
          <w:rFonts w:hint="eastAsia" w:ascii="楷体" w:hAnsi="楷体" w:eastAsia="楷体" w:cs="楷体"/>
          <w:b/>
          <w:bCs/>
          <w:spacing w:val="6"/>
          <w:szCs w:val="21"/>
          <w:u w:val="none"/>
        </w:rPr>
        <w:t>《风险揭示书》：</w:t>
      </w:r>
      <w:r>
        <w:rPr>
          <w:rFonts w:hint="eastAsia" w:ascii="楷体" w:hAnsi="楷体" w:eastAsia="楷体" w:cs="楷体"/>
          <w:b w:val="0"/>
          <w:bCs w:val="0"/>
          <w:szCs w:val="21"/>
          <w:u w:val="none"/>
        </w:rPr>
        <w:t>指《</w:t>
      </w:r>
      <w:r>
        <w:rPr>
          <w:rFonts w:hint="eastAsia" w:ascii="楷体" w:hAnsi="楷体" w:eastAsia="楷体" w:cs="楷体"/>
          <w:b w:val="0"/>
          <w:bCs w:val="0"/>
          <w:szCs w:val="21"/>
          <w:highlight w:val="none"/>
          <w:u w:val="none"/>
          <w:lang w:val="en-US" w:eastAsia="zh-CN"/>
        </w:rPr>
        <w:t>【上银理财“易享利”系列开放式持有期理财产品WPEK26M0329期】</w:t>
      </w:r>
      <w:r>
        <w:rPr>
          <w:rFonts w:hint="eastAsia" w:ascii="楷体" w:hAnsi="楷体" w:eastAsia="楷体" w:cs="楷体"/>
          <w:b w:val="0"/>
          <w:bCs w:val="0"/>
          <w:szCs w:val="21"/>
          <w:u w:val="none"/>
        </w:rPr>
        <w:t>风险揭示书》，以及对该文件的有效修改或补充。</w:t>
      </w:r>
    </w:p>
    <w:p>
      <w:pPr>
        <w:snapToGrid w:val="0"/>
        <w:spacing w:line="360" w:lineRule="auto"/>
        <w:ind w:firstLine="422" w:firstLineChars="200"/>
        <w:rPr>
          <w:rFonts w:hint="eastAsia" w:ascii="楷体" w:hAnsi="楷体" w:eastAsia="楷体" w:cs="楷体"/>
          <w:b w:val="0"/>
          <w:bCs w:val="0"/>
          <w:szCs w:val="21"/>
          <w:highlight w:val="none"/>
          <w:u w:val="none"/>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highlight w:val="none"/>
          <w:u w:val="none"/>
        </w:rPr>
        <w:t>《投资协议书》：</w:t>
      </w:r>
      <w:r>
        <w:rPr>
          <w:rFonts w:hint="eastAsia" w:ascii="楷体" w:hAnsi="楷体" w:eastAsia="楷体" w:cs="楷体"/>
          <w:b w:val="0"/>
          <w:bCs w:val="0"/>
          <w:szCs w:val="21"/>
          <w:highlight w:val="none"/>
          <w:u w:val="none"/>
          <w:lang w:val="en-US" w:eastAsia="zh-CN"/>
        </w:rPr>
        <w:t>指</w:t>
      </w:r>
      <w:r>
        <w:rPr>
          <w:rFonts w:hint="eastAsia" w:ascii="楷体" w:hAnsi="楷体" w:eastAsia="楷体" w:cs="楷体"/>
          <w:b w:val="0"/>
          <w:bCs w:val="0"/>
          <w:szCs w:val="21"/>
          <w:highlight w:val="none"/>
          <w:u w:val="none"/>
        </w:rPr>
        <w:t>《上银理财理财产品投资协议书》，以及对该文件的有效修改或补充。</w:t>
      </w:r>
    </w:p>
    <w:p>
      <w:pPr>
        <w:snapToGrid w:val="0"/>
        <w:spacing w:line="360" w:lineRule="auto"/>
        <w:ind w:firstLine="422" w:firstLineChars="200"/>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w:t>
      </w:r>
      <w:r>
        <w:rPr>
          <w:rFonts w:hint="eastAsia" w:ascii="楷体" w:hAnsi="楷体" w:eastAsia="楷体" w:cs="楷体"/>
          <w:b/>
          <w:bCs/>
          <w:spacing w:val="6"/>
          <w:szCs w:val="21"/>
          <w:u w:val="none"/>
        </w:rPr>
        <w:t>《销售（代理销售）协议书》：</w:t>
      </w:r>
      <w:r>
        <w:rPr>
          <w:rFonts w:hint="eastAsia" w:ascii="楷体" w:hAnsi="楷体" w:eastAsia="楷体" w:cs="楷体"/>
          <w:b w:val="0"/>
          <w:bCs w:val="0"/>
          <w:szCs w:val="21"/>
          <w:highlight w:val="none"/>
          <w:u w:val="none"/>
          <w:lang w:val="en-US" w:eastAsia="zh-CN"/>
        </w:rPr>
        <w:t>指由投资者和销售机构签署的，作为本产品销售文件不可分割组成部分的《销售（代理销售）协议书》，以及对该文件的有效修改或补充。</w:t>
      </w:r>
    </w:p>
    <w:p>
      <w:pPr>
        <w:snapToGrid w:val="0"/>
        <w:spacing w:line="360" w:lineRule="auto"/>
        <w:ind w:firstLine="422" w:firstLineChars="200"/>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《投资者权益须知》</w:t>
      </w:r>
      <w:r>
        <w:rPr>
          <w:rFonts w:hint="eastAsia" w:ascii="楷体" w:hAnsi="楷体" w:eastAsia="楷体" w:cs="楷体"/>
          <w:b/>
          <w:bCs/>
          <w:spacing w:val="6"/>
          <w:szCs w:val="21"/>
          <w:u w:val="none"/>
          <w:lang w:eastAsia="zh-CN"/>
        </w:rPr>
        <w:t>：</w:t>
      </w:r>
      <w:r>
        <w:rPr>
          <w:rFonts w:hint="eastAsia" w:ascii="楷体" w:hAnsi="楷体" w:eastAsia="楷体" w:cs="楷体"/>
          <w:b w:val="0"/>
          <w:bCs w:val="0"/>
          <w:szCs w:val="21"/>
          <w:highlight w:val="none"/>
          <w:u w:val="none"/>
          <w:lang w:val="en-US" w:eastAsia="zh-CN"/>
        </w:rPr>
        <w:t>指由投资者和销售机构签署的，作为本产品销售文件不可分割组成部分的《投资者权益须知》，以及对该文件的有效修改或补充。</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（三）产品要素</w:t>
      </w:r>
    </w:p>
    <w:p>
      <w:pPr>
        <w:spacing w:line="360" w:lineRule="auto"/>
        <w:ind w:firstLine="422" w:firstLineChars="200"/>
        <w:contextualSpacing/>
        <w:rPr>
          <w:rFonts w:hint="eastAsia" w:ascii="楷体" w:hAnsi="楷体" w:eastAsia="楷体" w:cs="楷体"/>
          <w:b/>
          <w:bCs/>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pacing w:val="6"/>
          <w:szCs w:val="21"/>
          <w:u w:val="none"/>
        </w:rPr>
        <w:t>理财产品/本产品</w:t>
      </w:r>
      <w:r>
        <w:rPr>
          <w:rFonts w:hint="eastAsia" w:ascii="楷体" w:hAnsi="楷体" w:eastAsia="楷体" w:cs="楷体"/>
          <w:b/>
          <w:bCs/>
          <w:spacing w:val="6"/>
          <w:szCs w:val="21"/>
          <w:highlight w:val="none"/>
          <w:u w:val="none"/>
        </w:rPr>
        <w:t>/产</w:t>
      </w:r>
      <w:r>
        <w:rPr>
          <w:rFonts w:hint="eastAsia" w:ascii="楷体" w:hAnsi="楷体" w:eastAsia="楷体" w:cs="楷体"/>
          <w:b/>
          <w:bCs/>
          <w:spacing w:val="23"/>
          <w:sz w:val="21"/>
          <w:szCs w:val="21"/>
          <w:u w:val="none"/>
        </w:rPr>
        <w:t>品：</w:t>
      </w:r>
      <w:r>
        <w:rPr>
          <w:rFonts w:hint="eastAsia" w:ascii="楷体" w:hAnsi="楷体" w:eastAsia="楷体" w:cs="楷体"/>
          <w:b w:val="0"/>
          <w:bCs w:val="0"/>
          <w:szCs w:val="21"/>
          <w:highlight w:val="none"/>
          <w:u w:val="none"/>
          <w:lang w:val="en-US" w:eastAsia="zh-CN"/>
        </w:rPr>
        <w:t>指【上银理财“易享利”系列开放式持有期理财产品WPEK26M0329期】。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2.</w:t>
      </w:r>
      <w:r>
        <w:rPr>
          <w:rFonts w:hint="eastAsia" w:ascii="楷体" w:hAnsi="楷体" w:eastAsia="楷体" w:cs="楷体"/>
          <w:b/>
          <w:bCs/>
          <w:spacing w:val="6"/>
          <w:szCs w:val="21"/>
          <w:highlight w:val="none"/>
          <w:u w:val="none"/>
          <w:lang w:val="en-US" w:eastAsia="zh-CN"/>
        </w:rPr>
        <w:t>产品风险评</w:t>
      </w:r>
      <w:r>
        <w:rPr>
          <w:rFonts w:hint="eastAsia" w:ascii="楷体" w:hAnsi="楷体" w:eastAsia="楷体" w:cs="楷体"/>
          <w:b/>
          <w:bCs/>
          <w:spacing w:val="23"/>
          <w:sz w:val="21"/>
          <w:szCs w:val="21"/>
          <w:u w:val="none"/>
          <w:lang w:val="en-US" w:eastAsia="zh-CN"/>
        </w:rPr>
        <w:t>级：</w:t>
      </w:r>
      <w:r>
        <w:rPr>
          <w:rFonts w:hint="eastAsia" w:ascii="楷体" w:hAnsi="楷体" w:eastAsia="楷体" w:cs="楷体"/>
          <w:b w:val="0"/>
          <w:bCs w:val="0"/>
          <w:szCs w:val="21"/>
          <w:highlight w:val="none"/>
          <w:u w:val="none"/>
          <w:lang w:val="en-US" w:eastAsia="zh-CN"/>
        </w:rPr>
        <w:t>指管理人内部对本公司发行理财产品的评级结果。上银理财产品风险评级由低到高共分为五级：低风险（一级风险）、中低风险（二级风险）、中等风险（三级风险）、中高风险（四级风险）、高风险（五级风险）。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pacing w:line="360" w:lineRule="auto"/>
        <w:ind w:firstLine="422" w:firstLineChars="200"/>
        <w:contextualSpacing/>
        <w:rPr>
          <w:rFonts w:hint="eastAsia" w:ascii="楷体_GB2312" w:hAnsi="宋体" w:eastAsia="楷体_GB2312"/>
          <w:b w:val="0"/>
          <w:bCs w:val="0"/>
          <w:szCs w:val="21"/>
          <w:highlight w:val="none"/>
          <w:u w:val="none"/>
          <w:lang w:val="en-US" w:eastAsia="zh-CN"/>
        </w:rPr>
      </w:pPr>
      <w:r>
        <w:rPr>
          <w:rFonts w:hint="eastAsia" w:ascii="楷体" w:hAnsi="楷体" w:eastAsia="楷体" w:cs="楷体"/>
          <w:b/>
          <w:bCs/>
          <w:szCs w:val="21"/>
          <w:highlight w:val="none"/>
          <w:u w:val="none"/>
          <w:lang w:val="en-US" w:eastAsia="zh-CN"/>
        </w:rPr>
        <w:t>3</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认购/申购资</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指在认购期或申购开放日，认购人/申购人为认购/申购理财产品份额而向管理人交付的货币资金。为免疑义，认购/申购资金不包含认购/申购资金在认购/申购期内所产生的利息。</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4</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理财产品募集资</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指认购人按照理财产品合同的约定交付，并经管理人确认认购成功而进入理财产品账户的认购资金的总和。</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5</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理财产品资</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指理财产品募集资金，以及管理人管理、运用、处分该等理财产品募集资金而取得且归于理财产品所有的货币资金。</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6</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理财产品费</w:t>
      </w:r>
      <w:r>
        <w:rPr>
          <w:rFonts w:hint="eastAsia" w:ascii="楷体" w:hAnsi="楷体" w:eastAsia="楷体" w:cs="楷体"/>
          <w:b/>
          <w:bCs/>
          <w:spacing w:val="23"/>
          <w:sz w:val="21"/>
          <w:szCs w:val="21"/>
          <w:u w:val="none"/>
        </w:rPr>
        <w:t>用：</w:t>
      </w:r>
      <w:r>
        <w:rPr>
          <w:rFonts w:hint="eastAsia" w:ascii="楷体" w:hAnsi="楷体" w:eastAsia="楷体" w:cs="楷体"/>
          <w:b w:val="0"/>
          <w:bCs w:val="0"/>
          <w:szCs w:val="21"/>
          <w:highlight w:val="none"/>
          <w:u w:val="none"/>
          <w:lang w:val="en-US" w:eastAsia="zh-CN"/>
        </w:rPr>
        <w:t>指管理人为成立理财产品及处理理财产品事务目的而支出的所有费用，包括但不限于管理人收取的固定投资管理费、浮动投资管理费（如有）、托管人收取的托管费、销售机构收取的销售管理费、因投资资产而产生的资产服务费（如有）、交易费用（包括但不限于交易佣金、撮合费用等）、理财产品验资费、审计费、保全费、律师费、信息披露费、清算费、执行费用、外包服务费、资产评估费、资产存续期管理所需费用及按照法律法规规章规定和理财产品销售文件约定应由产品承担的费用，具体以实际发生为准。</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执行费</w:t>
      </w:r>
      <w:r>
        <w:rPr>
          <w:rFonts w:hint="eastAsia" w:ascii="楷体" w:hAnsi="楷体" w:eastAsia="楷体" w:cs="楷体"/>
          <w:b/>
          <w:bCs/>
          <w:spacing w:val="23"/>
          <w:sz w:val="21"/>
          <w:szCs w:val="21"/>
          <w:u w:val="none"/>
        </w:rPr>
        <w:t>用：</w:t>
      </w:r>
      <w:r>
        <w:rPr>
          <w:rFonts w:hint="eastAsia" w:ascii="楷体" w:hAnsi="楷体" w:eastAsia="楷体" w:cs="楷体"/>
          <w:b w:val="0"/>
          <w:bCs w:val="0"/>
          <w:szCs w:val="21"/>
          <w:highlight w:val="none"/>
          <w:u w:val="none"/>
          <w:lang w:val="en-US" w:eastAsia="zh-CN"/>
        </w:rPr>
        <w:t>指为理财产品利益目的而进行的诉讼或仲裁等法律程序相关的费用，包括但不限于诉讼费、仲裁费、财产保全费、律师费和执行费，以及因诉讼或仲裁之需要而委托中介机构或司法机构进行鉴定、评估等而产生的费用。</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8</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理财产品税</w:t>
      </w:r>
      <w:r>
        <w:rPr>
          <w:rFonts w:hint="eastAsia" w:ascii="楷体" w:hAnsi="楷体" w:eastAsia="楷体" w:cs="楷体"/>
          <w:b/>
          <w:bCs/>
          <w:spacing w:val="23"/>
          <w:sz w:val="21"/>
          <w:szCs w:val="21"/>
          <w:u w:val="none"/>
        </w:rPr>
        <w:t>费：</w:t>
      </w:r>
      <w:r>
        <w:rPr>
          <w:rFonts w:hint="eastAsia" w:ascii="楷体" w:hAnsi="楷体" w:eastAsia="楷体" w:cs="楷体"/>
          <w:b w:val="0"/>
          <w:bCs w:val="0"/>
          <w:szCs w:val="21"/>
          <w:highlight w:val="none"/>
          <w:u w:val="none"/>
          <w:lang w:val="en-US" w:eastAsia="zh-CN"/>
        </w:rPr>
        <w:t>指根据适用法律和理财产品销售文件规定，理财产品应缴纳和承担的税收和有权政府部门向理财产品征收的税费、规费。</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9</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理财产品利</w:t>
      </w:r>
      <w:r>
        <w:rPr>
          <w:rFonts w:hint="eastAsia" w:ascii="楷体" w:hAnsi="楷体" w:eastAsia="楷体" w:cs="楷体"/>
          <w:b/>
          <w:bCs/>
          <w:spacing w:val="23"/>
          <w:sz w:val="21"/>
          <w:szCs w:val="21"/>
          <w:u w:val="none"/>
        </w:rPr>
        <w:t>益：</w:t>
      </w:r>
      <w:r>
        <w:rPr>
          <w:rFonts w:hint="eastAsia" w:ascii="楷体" w:hAnsi="楷体" w:eastAsia="楷体" w:cs="楷体"/>
          <w:b w:val="0"/>
          <w:bCs w:val="0"/>
          <w:szCs w:val="21"/>
          <w:highlight w:val="none"/>
          <w:u w:val="none"/>
          <w:lang w:val="en-US" w:eastAsia="zh-CN"/>
        </w:rPr>
        <w:t>指投资者因持有理财产品份额，按照销售文件约定取得或有权取得的理财产品管理人分配的理财产品资产。在理财产品对外投资资产正常回收的情况下，该等财产性利益包括投资本金及理财产品收益。</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lang w:val="en-US" w:eastAsia="zh-CN"/>
        </w:rPr>
        <w:t>10</w:t>
      </w:r>
      <w:r>
        <w:rPr>
          <w:rFonts w:hint="eastAsia" w:ascii="楷体" w:hAnsi="楷体" w:eastAsia="楷体" w:cs="楷体"/>
          <w:b/>
          <w:bCs/>
          <w:szCs w:val="21"/>
          <w:u w:val="none"/>
        </w:rPr>
        <w:t>.</w:t>
      </w:r>
      <w:r>
        <w:rPr>
          <w:rFonts w:hint="eastAsia" w:ascii="楷体" w:hAnsi="楷体" w:eastAsia="楷体" w:cs="楷体"/>
          <w:b/>
          <w:bCs/>
          <w:spacing w:val="6"/>
          <w:szCs w:val="21"/>
          <w:u w:val="none"/>
        </w:rPr>
        <w:t>投资本</w:t>
      </w:r>
      <w:r>
        <w:rPr>
          <w:rFonts w:hint="eastAsia" w:ascii="楷体" w:hAnsi="楷体" w:eastAsia="楷体" w:cs="楷体"/>
          <w:b/>
          <w:bCs/>
          <w:spacing w:val="23"/>
          <w:sz w:val="21"/>
          <w:szCs w:val="21"/>
          <w:u w:val="none"/>
        </w:rPr>
        <w:t>金：</w:t>
      </w:r>
      <w:r>
        <w:rPr>
          <w:rFonts w:hint="eastAsia" w:ascii="楷体" w:hAnsi="楷体" w:eastAsia="楷体" w:cs="楷体"/>
          <w:b w:val="0"/>
          <w:bCs w:val="0"/>
          <w:szCs w:val="21"/>
          <w:highlight w:val="none"/>
          <w:u w:val="none"/>
          <w:lang w:val="en-US" w:eastAsia="zh-CN"/>
        </w:rPr>
        <w:t>就每一投资者而言，指投资者为认购/申购理财产品份额而向理财产品管理人交付的货币资金，即该投资者在本理财产品下的初始投资资金。就每一理财产品份额而言，在本理财产品成立时每一理财产品份额的投资本金为1元。为避免疑义，投资本金的称谓仅为方便计算理财产品利益而创设的，并非对投资者投资本金不受损失的承诺。</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11</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理财产品收</w:t>
      </w:r>
      <w:r>
        <w:rPr>
          <w:rFonts w:hint="eastAsia" w:ascii="楷体" w:hAnsi="楷体" w:eastAsia="楷体" w:cs="楷体"/>
          <w:b/>
          <w:bCs/>
          <w:spacing w:val="23"/>
          <w:sz w:val="21"/>
          <w:szCs w:val="21"/>
          <w:u w:val="none"/>
        </w:rPr>
        <w:t>益：</w:t>
      </w:r>
      <w:r>
        <w:rPr>
          <w:rFonts w:hint="eastAsia" w:ascii="楷体" w:hAnsi="楷体" w:eastAsia="楷体" w:cs="楷体"/>
          <w:b w:val="0"/>
          <w:bCs w:val="0"/>
          <w:szCs w:val="21"/>
          <w:highlight w:val="none"/>
          <w:u w:val="none"/>
          <w:lang w:val="en-US" w:eastAsia="zh-CN"/>
        </w:rPr>
        <w:t>指投资者投资理财产品获得的投资收益，该收益为其获得分配的全部理财产品利益中扣除投资本金的部分。</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2</w:t>
      </w:r>
      <w:r>
        <w:rPr>
          <w:rFonts w:hint="eastAsia" w:ascii="楷体" w:hAnsi="楷体" w:eastAsia="楷体" w:cs="楷体"/>
          <w:b/>
          <w:bCs/>
          <w:szCs w:val="21"/>
          <w:u w:val="none"/>
        </w:rPr>
        <w:t>.</w:t>
      </w:r>
      <w:r>
        <w:rPr>
          <w:rFonts w:hint="eastAsia" w:ascii="楷体" w:hAnsi="楷体" w:eastAsia="楷体" w:cs="楷体"/>
          <w:b/>
          <w:bCs/>
          <w:spacing w:val="6"/>
          <w:szCs w:val="21"/>
          <w:u w:val="none"/>
          <w:lang w:val="en-US" w:eastAsia="zh-CN"/>
        </w:rPr>
        <w:t>收益</w:t>
      </w:r>
      <w:r>
        <w:rPr>
          <w:rFonts w:hint="eastAsia" w:ascii="楷体" w:hAnsi="楷体" w:eastAsia="楷体" w:cs="楷体"/>
          <w:b/>
          <w:bCs/>
          <w:spacing w:val="6"/>
          <w:szCs w:val="21"/>
          <w:u w:val="none"/>
        </w:rPr>
        <w:t>分</w:t>
      </w:r>
      <w:r>
        <w:rPr>
          <w:rFonts w:hint="eastAsia" w:ascii="楷体" w:hAnsi="楷体" w:eastAsia="楷体" w:cs="楷体"/>
          <w:b/>
          <w:bCs/>
          <w:spacing w:val="23"/>
          <w:sz w:val="21"/>
          <w:szCs w:val="21"/>
          <w:u w:val="none"/>
        </w:rPr>
        <w:t>配：</w:t>
      </w:r>
      <w:r>
        <w:rPr>
          <w:rFonts w:hint="eastAsia" w:ascii="楷体" w:hAnsi="楷体" w:eastAsia="楷体" w:cs="楷体"/>
          <w:b w:val="0"/>
          <w:bCs w:val="0"/>
          <w:szCs w:val="21"/>
          <w:highlight w:val="none"/>
          <w:u w:val="none"/>
          <w:lang w:val="en-US" w:eastAsia="zh-CN"/>
        </w:rPr>
        <w:t>指理财产品管理人向投资者进行理财产品收益分配。</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w:t>
      </w:r>
      <w:r>
        <w:rPr>
          <w:rFonts w:hint="eastAsia" w:ascii="楷体" w:hAnsi="楷体" w:eastAsia="楷体" w:cs="楷体"/>
          <w:b/>
          <w:bCs/>
          <w:spacing w:val="6"/>
          <w:szCs w:val="21"/>
          <w:u w:val="none"/>
        </w:rPr>
        <w:t>期间分</w:t>
      </w:r>
      <w:r>
        <w:rPr>
          <w:rFonts w:hint="eastAsia" w:ascii="楷体" w:hAnsi="楷体" w:eastAsia="楷体" w:cs="楷体"/>
          <w:b/>
          <w:bCs/>
          <w:spacing w:val="23"/>
          <w:sz w:val="21"/>
          <w:szCs w:val="21"/>
          <w:u w:val="none"/>
        </w:rPr>
        <w:t>配：</w:t>
      </w:r>
      <w:r>
        <w:rPr>
          <w:rFonts w:hint="eastAsia" w:ascii="楷体" w:hAnsi="楷体" w:eastAsia="楷体" w:cs="楷体"/>
          <w:b w:val="0"/>
          <w:bCs w:val="0"/>
          <w:szCs w:val="21"/>
          <w:highlight w:val="none"/>
          <w:u w:val="none"/>
          <w:lang w:val="en-US" w:eastAsia="zh-CN"/>
        </w:rPr>
        <w:t>指在理财产品终止日（不含当日）前的理财产品收益分配。</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rPr>
        <w:t>1</w:t>
      </w:r>
      <w:r>
        <w:rPr>
          <w:rFonts w:hint="eastAsia" w:ascii="楷体" w:hAnsi="楷体" w:eastAsia="楷体" w:cs="楷体"/>
          <w:b/>
          <w:bCs/>
          <w:szCs w:val="21"/>
          <w:highlight w:val="none"/>
          <w:u w:val="none"/>
          <w:lang w:val="en-US" w:eastAsia="zh-CN"/>
        </w:rPr>
        <w:t>4</w:t>
      </w:r>
      <w:r>
        <w:rPr>
          <w:rFonts w:hint="eastAsia" w:ascii="楷体" w:hAnsi="楷体" w:eastAsia="楷体" w:cs="楷体"/>
          <w:b/>
          <w:bCs/>
          <w:szCs w:val="21"/>
          <w:highlight w:val="none"/>
          <w:u w:val="none"/>
        </w:rPr>
        <w:t>.</w:t>
      </w:r>
      <w:r>
        <w:rPr>
          <w:rFonts w:hint="eastAsia" w:ascii="楷体" w:hAnsi="楷体" w:eastAsia="楷体" w:cs="楷体"/>
          <w:b/>
          <w:bCs/>
          <w:spacing w:val="6"/>
          <w:szCs w:val="21"/>
          <w:highlight w:val="none"/>
          <w:u w:val="none"/>
        </w:rPr>
        <w:t>终止分</w:t>
      </w:r>
      <w:r>
        <w:rPr>
          <w:rFonts w:hint="eastAsia" w:ascii="楷体" w:hAnsi="楷体" w:eastAsia="楷体" w:cs="楷体"/>
          <w:b/>
          <w:bCs/>
          <w:spacing w:val="23"/>
          <w:sz w:val="21"/>
          <w:szCs w:val="21"/>
          <w:u w:val="none"/>
        </w:rPr>
        <w:t>配：</w:t>
      </w:r>
      <w:r>
        <w:rPr>
          <w:rFonts w:hint="eastAsia" w:ascii="楷体" w:hAnsi="楷体" w:eastAsia="楷体" w:cs="楷体"/>
          <w:b w:val="0"/>
          <w:bCs w:val="0"/>
          <w:szCs w:val="21"/>
          <w:highlight w:val="none"/>
          <w:u w:val="none"/>
          <w:lang w:val="en-US" w:eastAsia="zh-CN"/>
        </w:rPr>
        <w:t>指在理财产品终止日当日及之后的理财产品可得资金分配，该等可得资金包括本金和理财收益（如有）。</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理财产品份</w:t>
      </w:r>
      <w:r>
        <w:rPr>
          <w:rFonts w:hint="eastAsia" w:ascii="楷体" w:hAnsi="楷体" w:eastAsia="楷体" w:cs="楷体"/>
          <w:b/>
          <w:bCs/>
          <w:spacing w:val="23"/>
          <w:sz w:val="21"/>
          <w:szCs w:val="21"/>
          <w:u w:val="none"/>
        </w:rPr>
        <w:t>额：</w:t>
      </w:r>
      <w:r>
        <w:rPr>
          <w:rFonts w:hint="eastAsia" w:ascii="楷体" w:hAnsi="楷体" w:eastAsia="楷体" w:cs="楷体"/>
          <w:b w:val="0"/>
          <w:bCs w:val="0"/>
          <w:szCs w:val="21"/>
          <w:highlight w:val="none"/>
          <w:u w:val="none"/>
          <w:lang w:val="en-US" w:eastAsia="zh-CN"/>
        </w:rPr>
        <w:t>指管理人依据理财产品销售文件向投资者发行的一种资产受益凭证。理财产品份额持有人基于其所持有的理财产品份额享有理财产品利益，承担理财产品资产风险。</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16.</w:t>
      </w:r>
      <w:r>
        <w:rPr>
          <w:rFonts w:hint="eastAsia" w:ascii="楷体" w:hAnsi="楷体" w:eastAsia="楷体" w:cs="楷体"/>
          <w:b/>
          <w:bCs/>
          <w:spacing w:val="6"/>
          <w:szCs w:val="21"/>
          <w:u w:val="none"/>
        </w:rPr>
        <w:t>理财产品资产净值/理财资产净值/产品资产净</w:t>
      </w:r>
      <w:r>
        <w:rPr>
          <w:rFonts w:hint="eastAsia" w:ascii="楷体" w:hAnsi="楷体" w:eastAsia="楷体" w:cs="楷体"/>
          <w:b/>
          <w:bCs/>
          <w:spacing w:val="23"/>
          <w:sz w:val="21"/>
          <w:szCs w:val="21"/>
          <w:u w:val="none"/>
        </w:rPr>
        <w:t>值</w:t>
      </w:r>
      <w:r>
        <w:rPr>
          <w:rFonts w:hint="eastAsia" w:ascii="楷体" w:hAnsi="楷体" w:eastAsia="楷体" w:cs="楷体"/>
          <w:b/>
          <w:bCs/>
          <w:spacing w:val="23"/>
          <w:sz w:val="21"/>
          <w:szCs w:val="21"/>
          <w:u w:val="none"/>
          <w:lang w:eastAsia="zh-CN"/>
        </w:rPr>
        <w:t>：</w:t>
      </w:r>
      <w:r>
        <w:rPr>
          <w:rFonts w:hint="eastAsia" w:ascii="楷体" w:hAnsi="楷体" w:eastAsia="楷体" w:cs="楷体"/>
          <w:b w:val="0"/>
          <w:bCs w:val="0"/>
          <w:szCs w:val="21"/>
          <w:highlight w:val="none"/>
          <w:u w:val="none"/>
          <w:lang w:val="en-US" w:eastAsia="zh-CN"/>
        </w:rPr>
        <w:t>理财产品资产净值=理财产品资产总值-理财产品负债总值。</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17.</w:t>
      </w:r>
      <w:r>
        <w:rPr>
          <w:rFonts w:hint="eastAsia" w:ascii="楷体" w:hAnsi="楷体" w:eastAsia="楷体" w:cs="楷体"/>
          <w:b/>
          <w:bCs/>
          <w:spacing w:val="6"/>
          <w:szCs w:val="21"/>
          <w:u w:val="none"/>
          <w:lang w:val="en-US" w:eastAsia="zh-CN"/>
        </w:rPr>
        <w:t>理财产品资产总</w:t>
      </w:r>
      <w:r>
        <w:rPr>
          <w:rFonts w:hint="eastAsia" w:ascii="楷体" w:hAnsi="楷体" w:eastAsia="楷体" w:cs="楷体"/>
          <w:b/>
          <w:bCs/>
          <w:spacing w:val="23"/>
          <w:sz w:val="21"/>
          <w:szCs w:val="21"/>
          <w:u w:val="none"/>
          <w:lang w:val="en-US" w:eastAsia="zh-CN"/>
        </w:rPr>
        <w:t>值：</w:t>
      </w:r>
      <w:r>
        <w:rPr>
          <w:rFonts w:hint="eastAsia" w:ascii="楷体" w:hAnsi="楷体" w:eastAsia="楷体" w:cs="楷体"/>
          <w:b w:val="0"/>
          <w:bCs w:val="0"/>
          <w:szCs w:val="21"/>
          <w:highlight w:val="none"/>
          <w:u w:val="none"/>
          <w:lang w:val="en-US" w:eastAsia="zh-CN"/>
        </w:rPr>
        <w:t>是指理财产品拥有的各类有价证券、银行存款、应收款项及其他资产的价值总和。</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18.</w:t>
      </w:r>
      <w:r>
        <w:rPr>
          <w:rFonts w:hint="eastAsia" w:ascii="楷体" w:hAnsi="楷体" w:eastAsia="楷体" w:cs="楷体"/>
          <w:b/>
          <w:bCs/>
          <w:spacing w:val="6"/>
          <w:szCs w:val="21"/>
          <w:u w:val="none"/>
          <w:lang w:val="en-US" w:eastAsia="zh-CN"/>
        </w:rPr>
        <w:t>理财产品负债总</w:t>
      </w:r>
      <w:r>
        <w:rPr>
          <w:rFonts w:hint="eastAsia" w:ascii="楷体" w:hAnsi="楷体" w:eastAsia="楷体" w:cs="楷体"/>
          <w:b/>
          <w:bCs/>
          <w:spacing w:val="23"/>
          <w:sz w:val="21"/>
          <w:szCs w:val="21"/>
          <w:u w:val="none"/>
          <w:lang w:val="en-US" w:eastAsia="zh-CN"/>
        </w:rPr>
        <w:t>值：</w:t>
      </w:r>
      <w:r>
        <w:rPr>
          <w:rFonts w:hint="eastAsia" w:ascii="楷体" w:hAnsi="楷体" w:eastAsia="楷体" w:cs="楷体"/>
          <w:b w:val="0"/>
          <w:bCs w:val="0"/>
          <w:szCs w:val="21"/>
          <w:highlight w:val="none"/>
          <w:u w:val="none"/>
          <w:lang w:val="en-US" w:eastAsia="zh-CN"/>
        </w:rPr>
        <w:t>是指理财产品运作及融资时形成的负债价值总和，包括融资资金本息、应付各项费用、应付税金及其他应付款项等。</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9</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lang w:val="en-US" w:eastAsia="zh-CN"/>
        </w:rPr>
        <w:t>理财产品份额净</w:t>
      </w:r>
      <w:r>
        <w:rPr>
          <w:rFonts w:hint="eastAsia" w:ascii="楷体" w:hAnsi="楷体" w:eastAsia="楷体" w:cs="楷体"/>
          <w:b/>
          <w:bCs/>
          <w:spacing w:val="23"/>
          <w:sz w:val="21"/>
          <w:szCs w:val="21"/>
          <w:u w:val="none"/>
          <w:lang w:val="en-US" w:eastAsia="zh-CN"/>
        </w:rPr>
        <w:t>值</w:t>
      </w:r>
      <w:r>
        <w:rPr>
          <w:rFonts w:hint="eastAsia" w:ascii="楷体" w:hAnsi="楷体" w:eastAsia="楷体" w:cs="楷体"/>
          <w:b/>
          <w:bCs/>
          <w:spacing w:val="23"/>
          <w:sz w:val="21"/>
          <w:szCs w:val="21"/>
          <w:u w:val="none"/>
        </w:rPr>
        <w:t>：</w:t>
      </w:r>
      <w:r>
        <w:rPr>
          <w:rFonts w:hint="eastAsia" w:ascii="楷体" w:hAnsi="楷体" w:eastAsia="楷体" w:cs="楷体"/>
          <w:b w:val="0"/>
          <w:bCs w:val="0"/>
          <w:szCs w:val="21"/>
          <w:highlight w:val="none"/>
          <w:u w:val="none"/>
          <w:lang w:val="en-US" w:eastAsia="zh-CN"/>
        </w:rPr>
        <w:t>指理财产品份额的单位净值，即每1份理财产品份额以人民币计价的价格。</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20</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lang w:val="en-US" w:eastAsia="zh-CN"/>
        </w:rPr>
        <w:t>理财产品份额累计净</w:t>
      </w:r>
      <w:r>
        <w:rPr>
          <w:rFonts w:hint="eastAsia" w:ascii="楷体" w:hAnsi="楷体" w:eastAsia="楷体" w:cs="楷体"/>
          <w:b/>
          <w:bCs/>
          <w:spacing w:val="23"/>
          <w:sz w:val="21"/>
          <w:szCs w:val="21"/>
          <w:u w:val="none"/>
          <w:lang w:val="en-US" w:eastAsia="zh-CN"/>
        </w:rPr>
        <w:t>值</w:t>
      </w:r>
      <w:r>
        <w:rPr>
          <w:rFonts w:hint="eastAsia" w:ascii="楷体" w:hAnsi="楷体" w:eastAsia="楷体" w:cs="楷体"/>
          <w:b/>
          <w:bCs/>
          <w:spacing w:val="23"/>
          <w:sz w:val="21"/>
          <w:szCs w:val="21"/>
          <w:u w:val="none"/>
        </w:rPr>
        <w:t>：</w:t>
      </w:r>
      <w:r>
        <w:rPr>
          <w:rFonts w:hint="eastAsia" w:ascii="楷体" w:hAnsi="楷体" w:eastAsia="楷体" w:cs="楷体"/>
          <w:b w:val="0"/>
          <w:bCs w:val="0"/>
          <w:szCs w:val="21"/>
          <w:highlight w:val="none"/>
          <w:u w:val="none"/>
          <w:lang w:val="en-US" w:eastAsia="zh-CN"/>
        </w:rPr>
        <w:t>指理财产品份额的单位净值与产品成立后历次累计单位收益分配的总和。</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21</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理财产品估</w:t>
      </w:r>
      <w:r>
        <w:rPr>
          <w:rFonts w:hint="eastAsia" w:ascii="楷体" w:hAnsi="楷体" w:eastAsia="楷体" w:cs="楷体"/>
          <w:b/>
          <w:bCs/>
          <w:spacing w:val="23"/>
          <w:sz w:val="21"/>
          <w:szCs w:val="21"/>
          <w:u w:val="none"/>
        </w:rPr>
        <w:t>值：</w:t>
      </w:r>
      <w:r>
        <w:rPr>
          <w:rFonts w:hint="eastAsia" w:ascii="楷体" w:hAnsi="楷体" w:eastAsia="楷体" w:cs="楷体"/>
          <w:b w:val="0"/>
          <w:bCs w:val="0"/>
          <w:szCs w:val="21"/>
          <w:highlight w:val="none"/>
          <w:u w:val="none"/>
          <w:lang w:val="en-US" w:eastAsia="zh-CN"/>
        </w:rPr>
        <w:t>指评估理财产品资产及负债以确定理财产品份额净值的过程。</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22</w:t>
      </w:r>
      <w:r>
        <w:rPr>
          <w:rFonts w:hint="eastAsia" w:ascii="楷体" w:hAnsi="楷体" w:eastAsia="楷体" w:cs="楷体"/>
          <w:b/>
          <w:bCs/>
          <w:szCs w:val="21"/>
          <w:u w:val="none"/>
        </w:rPr>
        <w:t>.</w:t>
      </w:r>
      <w:r>
        <w:rPr>
          <w:rFonts w:hint="eastAsia" w:ascii="楷体" w:hAnsi="楷体" w:eastAsia="楷体" w:cs="楷体"/>
          <w:b/>
          <w:bCs/>
          <w:spacing w:val="6"/>
          <w:szCs w:val="21"/>
          <w:u w:val="none"/>
        </w:rPr>
        <w:t>业绩比较基</w:t>
      </w:r>
      <w:r>
        <w:rPr>
          <w:rFonts w:hint="eastAsia" w:ascii="楷体" w:hAnsi="楷体" w:eastAsia="楷体" w:cs="楷体"/>
          <w:b/>
          <w:bCs/>
          <w:spacing w:val="23"/>
          <w:sz w:val="21"/>
          <w:szCs w:val="21"/>
          <w:u w:val="none"/>
        </w:rPr>
        <w:t>准：</w:t>
      </w:r>
      <w:r>
        <w:rPr>
          <w:rFonts w:hint="eastAsia" w:ascii="楷体" w:hAnsi="楷体" w:eastAsia="楷体" w:cs="楷体"/>
          <w:b w:val="0"/>
          <w:bCs w:val="0"/>
          <w:szCs w:val="21"/>
          <w:highlight w:val="none"/>
          <w:u w:val="none"/>
          <w:lang w:val="en-US" w:eastAsia="zh-CN"/>
        </w:rPr>
        <w:t>业绩比较基准是管理人基于产品性质、投资策略、过往经验等因素对产品设定的投资目标，业绩比较基准不是预期收益率，不代表产品的未来表现和实际收益，不构成对产品收益的承诺。</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23</w:t>
      </w:r>
      <w:r>
        <w:rPr>
          <w:rFonts w:hint="eastAsia" w:ascii="楷体" w:hAnsi="楷体" w:eastAsia="楷体" w:cs="楷体"/>
          <w:b/>
          <w:bCs/>
          <w:szCs w:val="21"/>
          <w:u w:val="none"/>
        </w:rPr>
        <w:t>.</w:t>
      </w:r>
      <w:r>
        <w:rPr>
          <w:rFonts w:hint="eastAsia" w:ascii="楷体" w:hAnsi="楷体" w:eastAsia="楷体" w:cs="楷体"/>
          <w:b/>
          <w:bCs/>
          <w:spacing w:val="6"/>
          <w:szCs w:val="21"/>
          <w:u w:val="none"/>
        </w:rPr>
        <w:t>认</w:t>
      </w:r>
      <w:r>
        <w:rPr>
          <w:rFonts w:hint="eastAsia" w:ascii="楷体" w:hAnsi="楷体" w:eastAsia="楷体" w:cs="楷体"/>
          <w:b/>
          <w:bCs/>
          <w:spacing w:val="23"/>
          <w:sz w:val="21"/>
          <w:szCs w:val="21"/>
          <w:u w:val="none"/>
        </w:rPr>
        <w:t>购：</w:t>
      </w:r>
      <w:r>
        <w:rPr>
          <w:rFonts w:hint="eastAsia" w:ascii="楷体" w:hAnsi="楷体" w:eastAsia="楷体" w:cs="楷体"/>
          <w:b w:val="0"/>
          <w:bCs w:val="0"/>
          <w:szCs w:val="21"/>
          <w:highlight w:val="none"/>
          <w:u w:val="none"/>
          <w:lang w:val="en-US" w:eastAsia="zh-CN"/>
        </w:rPr>
        <w:t>指在理财产品的募集期内，投资者根据《产品说明书》约定申请购买本产品理财产品份额的行为。</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24</w:t>
      </w:r>
      <w:r>
        <w:rPr>
          <w:rFonts w:hint="eastAsia" w:ascii="楷体" w:hAnsi="楷体" w:eastAsia="楷体" w:cs="楷体"/>
          <w:b/>
          <w:bCs/>
          <w:szCs w:val="21"/>
          <w:u w:val="none"/>
        </w:rPr>
        <w:t>.</w:t>
      </w:r>
      <w:r>
        <w:rPr>
          <w:rFonts w:hint="eastAsia" w:ascii="楷体" w:hAnsi="楷体" w:eastAsia="楷体" w:cs="楷体"/>
          <w:b/>
          <w:bCs/>
          <w:spacing w:val="6"/>
          <w:szCs w:val="21"/>
          <w:u w:val="none"/>
        </w:rPr>
        <w:t>申购/赎</w:t>
      </w:r>
      <w:r>
        <w:rPr>
          <w:rFonts w:hint="eastAsia" w:ascii="楷体" w:hAnsi="楷体" w:eastAsia="楷体" w:cs="楷体"/>
          <w:b/>
          <w:bCs/>
          <w:spacing w:val="23"/>
          <w:sz w:val="21"/>
          <w:szCs w:val="21"/>
          <w:u w:val="none"/>
        </w:rPr>
        <w:t>回：</w:t>
      </w:r>
      <w:r>
        <w:rPr>
          <w:rFonts w:hint="eastAsia" w:ascii="楷体" w:hAnsi="楷体" w:eastAsia="楷体" w:cs="楷体"/>
          <w:b w:val="0"/>
          <w:bCs w:val="0"/>
          <w:szCs w:val="21"/>
          <w:highlight w:val="none"/>
          <w:u w:val="none"/>
          <w:lang w:val="en-US" w:eastAsia="zh-CN"/>
        </w:rPr>
        <w:t>指在理财产品的开放日，投资者向销售机构提出对理财产品份额进行购买/卖出的行为。</w:t>
      </w:r>
    </w:p>
    <w:p>
      <w:pPr>
        <w:spacing w:line="360" w:lineRule="auto"/>
        <w:ind w:firstLine="422"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bCs/>
          <w:szCs w:val="21"/>
          <w:u w:val="none"/>
          <w:lang w:val="en-US" w:eastAsia="zh-CN"/>
        </w:rPr>
        <w:t>25</w:t>
      </w:r>
      <w:r>
        <w:rPr>
          <w:rFonts w:hint="eastAsia" w:ascii="楷体" w:hAnsi="楷体" w:eastAsia="楷体" w:cs="楷体"/>
          <w:b/>
          <w:bCs/>
          <w:szCs w:val="21"/>
          <w:u w:val="none"/>
        </w:rPr>
        <w:t>.</w:t>
      </w:r>
      <w:r>
        <w:rPr>
          <w:rFonts w:hint="eastAsia" w:ascii="楷体" w:hAnsi="楷体" w:eastAsia="楷体" w:cs="楷体"/>
          <w:b/>
          <w:bCs/>
          <w:spacing w:val="6"/>
          <w:szCs w:val="21"/>
          <w:u w:val="none"/>
        </w:rPr>
        <w:t>巨额赎</w:t>
      </w:r>
      <w:r>
        <w:rPr>
          <w:rFonts w:hint="eastAsia" w:ascii="楷体" w:hAnsi="楷体" w:eastAsia="楷体" w:cs="楷体"/>
          <w:b/>
          <w:bCs/>
          <w:spacing w:val="23"/>
          <w:sz w:val="21"/>
          <w:szCs w:val="21"/>
          <w:u w:val="none"/>
        </w:rPr>
        <w:t>回：</w:t>
      </w:r>
      <w:r>
        <w:rPr>
          <w:rFonts w:hint="eastAsia" w:ascii="楷体" w:hAnsi="楷体" w:eastAsia="楷体" w:cs="楷体"/>
          <w:b w:val="0"/>
          <w:bCs w:val="0"/>
          <w:color w:val="auto"/>
          <w:szCs w:val="21"/>
          <w:highlight w:val="none"/>
          <w:u w:val="none"/>
          <w:lang w:val="en-US" w:eastAsia="zh-CN"/>
        </w:rPr>
        <w:t>在理财产品存续期内，若理财产品任一赎回开放日净赎回申请份额（赎回申请份额总数扣除申购申请份额总数）超过本理财产品上一【交易日】日终份额的</w:t>
      </w:r>
      <w:r>
        <w:rPr>
          <w:rFonts w:hint="eastAsia" w:ascii="楷体" w:hAnsi="楷体" w:eastAsia="楷体" w:cs="楷体"/>
          <w:b w:val="0"/>
          <w:bCs w:val="0"/>
          <w:color w:val="auto"/>
          <w:szCs w:val="21"/>
          <w:u w:val="none"/>
        </w:rPr>
        <w:t>10%</w:t>
      </w:r>
      <w:r>
        <w:rPr>
          <w:rFonts w:hint="eastAsia" w:ascii="楷体" w:hAnsi="楷体" w:eastAsia="楷体" w:cs="楷体"/>
          <w:b w:val="0"/>
          <w:bCs w:val="0"/>
          <w:color w:val="auto"/>
          <w:szCs w:val="21"/>
          <w:highlight w:val="none"/>
          <w:u w:val="none"/>
          <w:lang w:val="en-US" w:eastAsia="zh-CN"/>
        </w:rPr>
        <w:t>时，即为发生巨额赎回。</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26.</w:t>
      </w:r>
      <w:r>
        <w:rPr>
          <w:rFonts w:hint="eastAsia" w:ascii="楷体" w:hAnsi="楷体" w:eastAsia="楷体" w:cs="楷体"/>
          <w:b/>
          <w:bCs/>
          <w:color w:val="auto"/>
          <w:spacing w:val="6"/>
          <w:szCs w:val="21"/>
          <w:u w:val="none"/>
          <w:lang w:val="en-US" w:eastAsia="zh-CN"/>
        </w:rPr>
        <w:t>高流动性资</w:t>
      </w:r>
      <w:r>
        <w:rPr>
          <w:rFonts w:hint="eastAsia" w:ascii="楷体" w:hAnsi="楷体" w:eastAsia="楷体" w:cs="楷体"/>
          <w:b/>
          <w:bCs/>
          <w:spacing w:val="23"/>
          <w:sz w:val="21"/>
          <w:szCs w:val="21"/>
          <w:u w:val="none"/>
          <w:lang w:val="en-US" w:eastAsia="zh-CN"/>
        </w:rPr>
        <w:t>产：</w:t>
      </w:r>
      <w:r>
        <w:rPr>
          <w:rFonts w:hint="eastAsia" w:ascii="楷体" w:hAnsi="楷体" w:eastAsia="楷体" w:cs="楷体"/>
          <w:b w:val="0"/>
          <w:bCs w:val="0"/>
          <w:szCs w:val="21"/>
          <w:highlight w:val="none"/>
          <w:u w:val="none"/>
          <w:lang w:val="en-US" w:eastAsia="zh-CN"/>
        </w:rPr>
        <w:t>指现金或者到期日在一年以内的国债、中央银行票据和政策性金融债券。</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27.</w:t>
      </w:r>
      <w:r>
        <w:rPr>
          <w:rFonts w:hint="eastAsia" w:ascii="楷体" w:hAnsi="楷体" w:eastAsia="楷体" w:cs="楷体"/>
          <w:b/>
          <w:bCs/>
          <w:color w:val="auto"/>
          <w:spacing w:val="6"/>
          <w:szCs w:val="21"/>
          <w:u w:val="none"/>
          <w:lang w:val="en-US" w:eastAsia="zh-CN"/>
        </w:rPr>
        <w:t>流动性受限资</w:t>
      </w:r>
      <w:r>
        <w:rPr>
          <w:rFonts w:hint="eastAsia" w:ascii="楷体" w:hAnsi="楷体" w:eastAsia="楷体" w:cs="楷体"/>
          <w:b/>
          <w:bCs/>
          <w:spacing w:val="23"/>
          <w:sz w:val="21"/>
          <w:szCs w:val="21"/>
          <w:u w:val="none"/>
          <w:lang w:val="en-US" w:eastAsia="zh-CN"/>
        </w:rPr>
        <w:t>产：</w:t>
      </w:r>
      <w:r>
        <w:rPr>
          <w:rFonts w:hint="eastAsia" w:ascii="楷体" w:hAnsi="楷体" w:eastAsia="楷体" w:cs="楷体"/>
          <w:b w:val="0"/>
          <w:bCs w:val="0"/>
          <w:szCs w:val="21"/>
          <w:highlight w:val="none"/>
          <w:u w:val="none"/>
          <w:lang w:val="en-US" w:eastAsia="zh-CN"/>
        </w:rPr>
        <w:t>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法律法规或监管机构另有规定的，从其规定。</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28.</w:t>
      </w:r>
      <w:r>
        <w:rPr>
          <w:rFonts w:hint="eastAsia" w:ascii="楷体" w:hAnsi="楷体" w:eastAsia="楷体" w:cs="楷体"/>
          <w:b/>
          <w:bCs/>
          <w:color w:val="auto"/>
          <w:spacing w:val="6"/>
          <w:szCs w:val="21"/>
          <w:u w:val="none"/>
          <w:lang w:val="en-US" w:eastAsia="zh-CN"/>
        </w:rPr>
        <w:t>7个工作日可变现资</w:t>
      </w:r>
      <w:r>
        <w:rPr>
          <w:rFonts w:hint="eastAsia" w:ascii="楷体" w:hAnsi="楷体" w:eastAsia="楷体" w:cs="楷体"/>
          <w:b/>
          <w:bCs/>
          <w:spacing w:val="23"/>
          <w:sz w:val="21"/>
          <w:szCs w:val="21"/>
          <w:u w:val="none"/>
          <w:lang w:val="en-US" w:eastAsia="zh-CN"/>
        </w:rPr>
        <w:t>产：</w:t>
      </w:r>
      <w:r>
        <w:rPr>
          <w:rFonts w:hint="eastAsia" w:ascii="楷体" w:hAnsi="楷体" w:eastAsia="楷体" w:cs="楷体"/>
          <w:b w:val="0"/>
          <w:bCs w:val="0"/>
          <w:szCs w:val="21"/>
          <w:highlight w:val="none"/>
          <w:u w:val="none"/>
          <w:lang w:val="en-US" w:eastAsia="zh-CN"/>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highlight w:val="none"/>
          <w:u w:val="none"/>
          <w:lang w:val="en-US" w:eastAsia="zh-CN"/>
        </w:rPr>
        <w:t>29.</w:t>
      </w:r>
      <w:r>
        <w:rPr>
          <w:rFonts w:hint="eastAsia" w:ascii="楷体" w:hAnsi="楷体" w:eastAsia="楷体" w:cs="楷体"/>
          <w:b/>
          <w:bCs/>
          <w:color w:val="auto"/>
          <w:spacing w:val="6"/>
          <w:szCs w:val="21"/>
          <w:highlight w:val="none"/>
          <w:u w:val="none"/>
          <w:lang w:val="en-US" w:eastAsia="zh-CN"/>
        </w:rPr>
        <w:t>摆动定价机</w:t>
      </w:r>
      <w:r>
        <w:rPr>
          <w:rFonts w:hint="eastAsia" w:ascii="楷体" w:hAnsi="楷体" w:eastAsia="楷体" w:cs="楷体"/>
          <w:b/>
          <w:bCs/>
          <w:spacing w:val="23"/>
          <w:sz w:val="21"/>
          <w:szCs w:val="21"/>
          <w:u w:val="none"/>
          <w:lang w:val="en-US" w:eastAsia="zh-CN"/>
        </w:rPr>
        <w:t>制：</w:t>
      </w:r>
      <w:r>
        <w:rPr>
          <w:rFonts w:hint="eastAsia" w:ascii="楷体" w:hAnsi="楷体" w:eastAsia="楷体" w:cs="楷体"/>
          <w:b w:val="0"/>
          <w:bCs w:val="0"/>
          <w:szCs w:val="21"/>
          <w:highlight w:val="none"/>
          <w:u w:val="none"/>
          <w:lang w:val="en-US" w:eastAsia="zh-CN"/>
        </w:rPr>
        <w:t>指当开放式公募理财产品（现金管理类理财产品除外）遭遇大额申购或赎回时，通过调整理财产品份额净值的方式，将理财产品调整投资组合的市场冲击成本分配给实际申购、赎回的投资者，从而减少对存量理财产品份额持有人利益的不利影响，确保投资者的合法权益不受损害并得到公平对待。</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（四）相关账户</w:t>
      </w:r>
    </w:p>
    <w:p>
      <w:pPr>
        <w:spacing w:line="360" w:lineRule="auto"/>
        <w:ind w:firstLine="446"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pacing w:val="6"/>
          <w:szCs w:val="21"/>
          <w:u w:val="none"/>
        </w:rPr>
        <w:t>理财托管账户/理财产品账</w:t>
      </w:r>
      <w:r>
        <w:rPr>
          <w:rFonts w:hint="eastAsia" w:ascii="楷体" w:hAnsi="楷体" w:eastAsia="楷体" w:cs="楷体"/>
          <w:b/>
          <w:bCs/>
          <w:spacing w:val="23"/>
          <w:sz w:val="21"/>
          <w:szCs w:val="21"/>
          <w:u w:val="none"/>
        </w:rPr>
        <w:t>户：</w:t>
      </w:r>
      <w:r>
        <w:rPr>
          <w:rFonts w:hint="eastAsia" w:ascii="楷体" w:hAnsi="楷体" w:eastAsia="楷体" w:cs="楷体"/>
          <w:b w:val="0"/>
          <w:bCs w:val="0"/>
          <w:szCs w:val="21"/>
          <w:highlight w:val="none"/>
          <w:u w:val="none"/>
          <w:lang w:val="en-US" w:eastAsia="zh-CN"/>
        </w:rPr>
        <w:t>指理财产品管理人以理财产品的名义在托管人处单独开立的资金管理账户，理财产品资金的一切收支活动，均必须通过该账户进行。</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（五）期间与日期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pacing w:val="6"/>
          <w:szCs w:val="21"/>
          <w:u w:val="none"/>
        </w:rPr>
        <w:t>交易</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指上海证券交易所和深圳证券交易所的正常开盘交易日。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2.</w:t>
      </w:r>
      <w:r>
        <w:rPr>
          <w:rFonts w:hint="eastAsia" w:ascii="楷体" w:hAnsi="楷体" w:eastAsia="楷体" w:cs="楷体"/>
          <w:b/>
          <w:bCs/>
          <w:spacing w:val="6"/>
          <w:szCs w:val="21"/>
          <w:u w:val="none"/>
        </w:rPr>
        <w:t>银行工作</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指除中国法定节假日和公休日外的其他日。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highlight w:val="none"/>
          <w:u w:val="none"/>
          <w:lang w:val="en-US" w:eastAsia="zh-CN"/>
        </w:rPr>
        <w:t>3.工作日：</w:t>
      </w:r>
      <w:r>
        <w:rPr>
          <w:rFonts w:hint="eastAsia" w:ascii="楷体" w:hAnsi="楷体" w:eastAsia="楷体" w:cs="楷体"/>
          <w:b w:val="0"/>
          <w:bCs w:val="0"/>
          <w:szCs w:val="21"/>
          <w:highlight w:val="none"/>
          <w:u w:val="none"/>
          <w:lang w:val="en-US" w:eastAsia="zh-CN"/>
        </w:rPr>
        <w:t>指交易日或银行工作日，本《产品说明书》中“工作日”指【交易日】。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4</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自然</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包括正常的工作日和周末休假日，也包括假期。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5</w:t>
      </w:r>
      <w:r>
        <w:rPr>
          <w:rFonts w:hint="eastAsia" w:ascii="楷体" w:hAnsi="楷体" w:eastAsia="楷体" w:cs="楷体"/>
          <w:b/>
          <w:bCs/>
          <w:szCs w:val="21"/>
          <w:u w:val="none"/>
        </w:rPr>
        <w:t>.</w:t>
      </w:r>
      <w:r>
        <w:rPr>
          <w:rFonts w:hint="eastAsia" w:ascii="楷体" w:hAnsi="楷体" w:eastAsia="楷体" w:cs="楷体"/>
          <w:b/>
          <w:bCs/>
          <w:spacing w:val="6"/>
          <w:szCs w:val="21"/>
          <w:u w:val="none"/>
        </w:rPr>
        <w:t>认购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指理财产品成立前，理财产品管理人接受理财产品认购的时间。但在该期间内如认购人提交认购申请的认购份额提前达到《产品说明书》所载的发行规模上限的，管理人有权暂停接受认购申请，该情况下产品成立日保持不变。</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6</w:t>
      </w:r>
      <w:r>
        <w:rPr>
          <w:rFonts w:hint="eastAsia" w:ascii="楷体" w:hAnsi="楷体" w:eastAsia="楷体" w:cs="楷体"/>
          <w:b/>
          <w:bCs/>
          <w:szCs w:val="21"/>
          <w:u w:val="none"/>
        </w:rPr>
        <w:t>.</w:t>
      </w:r>
      <w:r>
        <w:rPr>
          <w:rFonts w:hint="eastAsia" w:ascii="楷体" w:hAnsi="楷体" w:eastAsia="楷体" w:cs="楷体"/>
          <w:b/>
          <w:bCs/>
          <w:spacing w:val="6"/>
          <w:szCs w:val="21"/>
          <w:u w:val="none"/>
        </w:rPr>
        <w:t>产品成立</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指达到《产品说明书》约定的成立条件后理财产品成立的日期。</w:t>
      </w:r>
    </w:p>
    <w:p>
      <w:pPr>
        <w:spacing w:line="360" w:lineRule="auto"/>
        <w:ind w:firstLine="422"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理财产品预计到期日/预计到期</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指《产品说明书》约定的预计到期日，</w:t>
      </w:r>
      <w:r>
        <w:rPr>
          <w:rFonts w:hint="eastAsia" w:ascii="楷体" w:hAnsi="楷体" w:eastAsia="楷体" w:cs="楷体"/>
          <w:b w:val="0"/>
          <w:bCs w:val="0"/>
          <w:color w:val="auto"/>
          <w:szCs w:val="21"/>
          <w:highlight w:val="none"/>
          <w:u w:val="none"/>
          <w:lang w:val="en-US" w:eastAsia="zh-CN"/>
        </w:rPr>
        <w:t>如遇非【交易日】顺延至下一个【交易日】。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8</w:t>
      </w:r>
      <w:r>
        <w:rPr>
          <w:rFonts w:hint="eastAsia" w:ascii="楷体" w:hAnsi="楷体" w:eastAsia="楷体" w:cs="楷体"/>
          <w:b/>
          <w:bCs/>
          <w:szCs w:val="21"/>
          <w:u w:val="none"/>
        </w:rPr>
        <w:t>.</w:t>
      </w:r>
      <w:r>
        <w:rPr>
          <w:rFonts w:hint="eastAsia" w:ascii="楷体" w:hAnsi="楷体" w:eastAsia="楷体" w:cs="楷体"/>
          <w:b/>
          <w:bCs/>
          <w:spacing w:val="6"/>
          <w:szCs w:val="21"/>
          <w:u w:val="none"/>
        </w:rPr>
        <w:t>理财产品到期日/终止日：</w:t>
      </w:r>
      <w:r>
        <w:rPr>
          <w:rFonts w:hint="eastAsia" w:ascii="楷体" w:hAnsi="楷体" w:eastAsia="楷体" w:cs="楷体"/>
          <w:b w:val="0"/>
          <w:bCs w:val="0"/>
          <w:szCs w:val="21"/>
          <w:highlight w:val="none"/>
          <w:u w:val="none"/>
          <w:lang w:val="en-US" w:eastAsia="zh-CN"/>
        </w:rPr>
        <w:t>指理财产品实际终止之日，根据实际情况，是指理财产品预计到期日，或管理人根据本《产品说明书》约定宣布本理财产品早于理财产品预计到期日而终止之日或宣布本理财产品延长后的终止之日（含延长后的到期终止之日，以及管理人在延期期限内根据本《产品说明书》约定宣布本理财产品终止之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9</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预计存续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指理财产品成立日起，至理财产品预计到期日的期间。</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lang w:val="en-US" w:eastAsia="zh-CN"/>
        </w:rPr>
        <w:t>10</w:t>
      </w:r>
      <w:r>
        <w:rPr>
          <w:rFonts w:hint="eastAsia" w:ascii="楷体" w:hAnsi="楷体" w:eastAsia="楷体" w:cs="楷体"/>
          <w:b/>
          <w:bCs/>
          <w:szCs w:val="21"/>
          <w:u w:val="none"/>
        </w:rPr>
        <w:t>.</w:t>
      </w:r>
      <w:r>
        <w:rPr>
          <w:rFonts w:hint="eastAsia" w:ascii="楷体" w:hAnsi="楷体" w:eastAsia="楷体" w:cs="楷体"/>
          <w:b/>
          <w:bCs/>
          <w:spacing w:val="6"/>
          <w:szCs w:val="21"/>
          <w:u w:val="none"/>
        </w:rPr>
        <w:t>产品存续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指自理财产品成立日起，至理财产品终止日的期间。</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1</w:t>
      </w:r>
      <w:r>
        <w:rPr>
          <w:rFonts w:hint="eastAsia" w:ascii="楷体" w:hAnsi="楷体" w:eastAsia="楷体" w:cs="楷体"/>
          <w:b/>
          <w:bCs/>
          <w:szCs w:val="21"/>
          <w:u w:val="none"/>
        </w:rPr>
        <w:t>.</w:t>
      </w:r>
      <w:r>
        <w:rPr>
          <w:rFonts w:hint="eastAsia" w:ascii="楷体" w:hAnsi="楷体" w:eastAsia="楷体" w:cs="楷体"/>
          <w:b/>
          <w:bCs/>
          <w:spacing w:val="6"/>
          <w:szCs w:val="21"/>
          <w:u w:val="none"/>
        </w:rPr>
        <w:t>估值日：</w:t>
      </w:r>
      <w:r>
        <w:rPr>
          <w:rFonts w:hint="eastAsia" w:ascii="楷体" w:hAnsi="楷体" w:eastAsia="楷体" w:cs="楷体"/>
          <w:b w:val="0"/>
          <w:bCs w:val="0"/>
          <w:szCs w:val="21"/>
          <w:highlight w:val="none"/>
          <w:u w:val="none"/>
          <w:lang w:val="en-US" w:eastAsia="zh-CN"/>
        </w:rPr>
        <w:t>指产品管理人对理财产品项下资产进行估值的日期。</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2</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投资封闭</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产品发售后暂停受理申购、赎回业务的一段封闭的时间。</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3</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开放</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指为投资者办理本理财产品份额申购、赎回或其他业务的日期。</w:t>
      </w:r>
    </w:p>
    <w:p>
      <w:pPr>
        <w:spacing w:line="360" w:lineRule="auto"/>
        <w:ind w:left="105" w:leftChars="50" w:firstLine="316" w:firstLineChars="15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4</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确认</w:t>
      </w:r>
      <w:r>
        <w:rPr>
          <w:rFonts w:hint="eastAsia" w:ascii="楷体" w:hAnsi="楷体" w:eastAsia="楷体" w:cs="楷体"/>
          <w:b/>
          <w:bCs/>
          <w:spacing w:val="23"/>
          <w:sz w:val="21"/>
          <w:szCs w:val="21"/>
          <w:u w:val="none"/>
        </w:rPr>
        <w:t>日：</w:t>
      </w:r>
      <w:r>
        <w:rPr>
          <w:rFonts w:hint="eastAsia" w:ascii="楷体" w:hAnsi="楷体" w:eastAsia="楷体" w:cs="楷体"/>
          <w:b w:val="0"/>
          <w:bCs w:val="0"/>
          <w:szCs w:val="21"/>
          <w:highlight w:val="none"/>
          <w:u w:val="none"/>
          <w:lang w:val="en-US" w:eastAsia="zh-CN"/>
        </w:rPr>
        <w:t>产品管理人对投资者的有效申请进行确认的时间。</w:t>
      </w:r>
    </w:p>
    <w:p>
      <w:pPr>
        <w:spacing w:line="360" w:lineRule="auto"/>
        <w:ind w:left="0" w:leftChars="0"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5</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收益分配基</w:t>
      </w:r>
      <w:r>
        <w:rPr>
          <w:rFonts w:hint="eastAsia" w:ascii="楷体" w:hAnsi="楷体" w:eastAsia="楷体" w:cs="楷体"/>
          <w:b/>
          <w:bCs/>
          <w:spacing w:val="23"/>
          <w:sz w:val="21"/>
          <w:szCs w:val="21"/>
          <w:u w:val="none"/>
        </w:rPr>
        <w:t>准日</w:t>
      </w:r>
      <w:r>
        <w:rPr>
          <w:rFonts w:hint="eastAsia" w:ascii="楷体" w:hAnsi="楷体" w:eastAsia="楷体" w:cs="楷体"/>
          <w:b/>
          <w:bCs/>
          <w:color w:val="auto"/>
          <w:spacing w:val="6"/>
          <w:szCs w:val="21"/>
          <w:u w:val="none"/>
        </w:rPr>
        <w:t>：</w:t>
      </w:r>
      <w:r>
        <w:rPr>
          <w:rFonts w:hint="eastAsia" w:ascii="楷体" w:hAnsi="楷体" w:eastAsia="楷体" w:cs="楷体"/>
          <w:b w:val="0"/>
          <w:bCs w:val="0"/>
          <w:szCs w:val="21"/>
          <w:highlight w:val="none"/>
          <w:u w:val="none"/>
          <w:lang w:val="en-US" w:eastAsia="zh-CN"/>
        </w:rPr>
        <w:t>是指可供分配利润的计算截止日。</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rPr>
        <w:t>1</w:t>
      </w:r>
      <w:r>
        <w:rPr>
          <w:rFonts w:hint="eastAsia" w:ascii="楷体" w:hAnsi="楷体" w:eastAsia="楷体" w:cs="楷体"/>
          <w:b/>
          <w:bCs/>
          <w:color w:val="auto"/>
          <w:szCs w:val="21"/>
          <w:u w:val="none"/>
          <w:lang w:val="en-US" w:eastAsia="zh-CN"/>
        </w:rPr>
        <w:t>6</w:t>
      </w:r>
      <w:r>
        <w:rPr>
          <w:rFonts w:hint="eastAsia" w:ascii="楷体" w:hAnsi="楷体" w:eastAsia="楷体" w:cs="楷体"/>
          <w:b/>
          <w:bCs/>
          <w:color w:val="auto"/>
          <w:szCs w:val="21"/>
          <w:u w:val="none"/>
        </w:rPr>
        <w:t>.</w:t>
      </w:r>
      <w:r>
        <w:rPr>
          <w:rFonts w:hint="eastAsia" w:ascii="楷体" w:hAnsi="楷体" w:eastAsia="楷体" w:cs="楷体"/>
          <w:b/>
          <w:bCs/>
          <w:color w:val="auto"/>
          <w:spacing w:val="6"/>
          <w:szCs w:val="21"/>
          <w:u w:val="none"/>
        </w:rPr>
        <w:t>最短持有</w:t>
      </w:r>
      <w:r>
        <w:rPr>
          <w:rFonts w:hint="eastAsia" w:ascii="楷体" w:hAnsi="楷体" w:eastAsia="楷体" w:cs="楷体"/>
          <w:b/>
          <w:bCs/>
          <w:spacing w:val="23"/>
          <w:sz w:val="21"/>
          <w:szCs w:val="21"/>
          <w:u w:val="none"/>
        </w:rPr>
        <w:t>期：</w:t>
      </w:r>
      <w:r>
        <w:rPr>
          <w:rFonts w:hint="eastAsia" w:ascii="楷体" w:hAnsi="楷体" w:eastAsia="楷体" w:cs="楷体"/>
          <w:b w:val="0"/>
          <w:bCs w:val="0"/>
          <w:szCs w:val="21"/>
          <w:highlight w:val="none"/>
          <w:u w:val="none"/>
          <w:lang w:val="en-US" w:eastAsia="zh-CN"/>
        </w:rPr>
        <w:t>即每笔理财产品份额从认/申购对应的成立日/确认日起，到可以提出赎回申请的最短时间限制。</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szCs w:val="21"/>
          <w:u w:val="none"/>
        </w:rPr>
        <w:t>1</w:t>
      </w: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w:t>
      </w:r>
      <w:r>
        <w:rPr>
          <w:rFonts w:hint="eastAsia" w:ascii="楷体" w:hAnsi="楷体" w:eastAsia="楷体" w:cs="楷体"/>
          <w:b/>
          <w:bCs/>
          <w:spacing w:val="6"/>
          <w:szCs w:val="21"/>
          <w:u w:val="none"/>
        </w:rPr>
        <w:t>节假日临时调</w:t>
      </w:r>
      <w:r>
        <w:rPr>
          <w:rFonts w:hint="eastAsia" w:ascii="楷体" w:hAnsi="楷体" w:eastAsia="楷体" w:cs="楷体"/>
          <w:b/>
          <w:bCs/>
          <w:spacing w:val="23"/>
          <w:sz w:val="21"/>
          <w:szCs w:val="21"/>
          <w:u w:val="none"/>
        </w:rPr>
        <w:t>整：</w:t>
      </w:r>
      <w:r>
        <w:rPr>
          <w:rFonts w:hint="eastAsia" w:ascii="楷体" w:hAnsi="楷体" w:eastAsia="楷体" w:cs="楷体"/>
          <w:b w:val="0"/>
          <w:bCs w:val="0"/>
          <w:szCs w:val="21"/>
          <w:highlight w:val="none"/>
          <w:u w:val="none"/>
          <w:lang w:val="en-US" w:eastAsia="zh-CN"/>
        </w:rPr>
        <w:t>如因国家相关主管部门临时调整节假日安排，导致产品原定开放日、估值日等日期安排发生变化的，原则上采用顺延方式对原定日期安排进行调整，如有特殊安排，</w:t>
      </w:r>
      <w:bookmarkStart w:id="4" w:name="_Hlk99533877"/>
      <w:r>
        <w:rPr>
          <w:rFonts w:hint="eastAsia" w:ascii="楷体" w:hAnsi="楷体" w:eastAsia="楷体" w:cs="楷体"/>
          <w:b w:val="0"/>
          <w:bCs w:val="0"/>
          <w:szCs w:val="21"/>
          <w:highlight w:val="none"/>
          <w:u w:val="none"/>
          <w:lang w:val="en-US" w:eastAsia="zh-CN"/>
        </w:rPr>
        <w:t>以管理人通过《产品说明书》“信息披露”约定的信息披露方式披露的调整方式为准。</w:t>
      </w:r>
    </w:p>
    <w:p>
      <w:pPr>
        <w:spacing w:line="360" w:lineRule="auto"/>
        <w:ind w:firstLine="422" w:firstLineChars="200"/>
        <w:contextualSpacing/>
        <w:rPr>
          <w:rFonts w:hint="eastAsia" w:ascii="楷体" w:hAnsi="楷体" w:eastAsia="楷体" w:cs="楷体"/>
          <w:b w:val="0"/>
          <w:bCs w:val="0"/>
          <w:szCs w:val="21"/>
          <w:highlight w:val="none"/>
          <w:u w:val="none"/>
          <w:lang w:val="en-US" w:eastAsia="zh-CN"/>
        </w:rPr>
      </w:pPr>
      <w:r>
        <w:rPr>
          <w:rFonts w:hint="eastAsia" w:ascii="楷体" w:hAnsi="楷体" w:eastAsia="楷体" w:cs="楷体"/>
          <w:b/>
          <w:bCs/>
          <w:color w:val="auto"/>
          <w:szCs w:val="21"/>
          <w:u w:val="none"/>
          <w:lang w:val="en-US" w:eastAsia="zh-CN"/>
        </w:rPr>
        <w:t>18.</w:t>
      </w:r>
      <w:r>
        <w:rPr>
          <w:rFonts w:hint="eastAsia" w:ascii="楷体" w:hAnsi="楷体" w:eastAsia="楷体" w:cs="楷体"/>
          <w:b/>
          <w:bCs/>
          <w:color w:val="auto"/>
          <w:spacing w:val="6"/>
          <w:szCs w:val="21"/>
          <w:u w:val="none"/>
          <w:lang w:val="en-US" w:eastAsia="zh-CN"/>
        </w:rPr>
        <w:t>清算</w:t>
      </w:r>
      <w:r>
        <w:rPr>
          <w:rFonts w:hint="eastAsia" w:ascii="楷体" w:hAnsi="楷体" w:eastAsia="楷体" w:cs="楷体"/>
          <w:b/>
          <w:bCs/>
          <w:spacing w:val="23"/>
          <w:sz w:val="21"/>
          <w:szCs w:val="21"/>
          <w:u w:val="none"/>
          <w:lang w:val="en-US" w:eastAsia="zh-CN"/>
        </w:rPr>
        <w:t>期：</w:t>
      </w:r>
      <w:r>
        <w:rPr>
          <w:rFonts w:hint="eastAsia" w:ascii="楷体" w:hAnsi="楷体" w:eastAsia="楷体" w:cs="楷体"/>
          <w:b w:val="0"/>
          <w:bCs w:val="0"/>
          <w:szCs w:val="21"/>
          <w:highlight w:val="none"/>
          <w:u w:val="none"/>
          <w:lang w:val="en-US" w:eastAsia="zh-CN"/>
        </w:rPr>
        <w:t>指自本理财产品终止日至投资者理财利益到账日之间的期间。</w:t>
      </w:r>
    </w:p>
    <w:bookmarkEnd w:id="4"/>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（六）相关事件用语</w:t>
      </w:r>
    </w:p>
    <w:p>
      <w:pPr>
        <w:spacing w:line="360" w:lineRule="auto"/>
        <w:ind w:firstLine="446" w:firstLineChars="200"/>
        <w:contextualSpacing/>
        <w:rPr>
          <w:rFonts w:hint="eastAsia" w:ascii="楷体" w:hAnsi="楷体" w:eastAsia="楷体" w:cs="楷体"/>
          <w:b w:val="0"/>
          <w:bCs w:val="0"/>
          <w:szCs w:val="21"/>
          <w:u w:val="none"/>
        </w:rPr>
      </w:pPr>
      <w:r>
        <w:rPr>
          <w:rFonts w:hint="eastAsia" w:ascii="楷体" w:hAnsi="楷体" w:eastAsia="楷体" w:cs="楷体"/>
          <w:b/>
          <w:bCs/>
          <w:spacing w:val="6"/>
          <w:szCs w:val="21"/>
          <w:u w:val="none"/>
        </w:rPr>
        <w:t>不可抗力：</w:t>
      </w:r>
      <w:r>
        <w:rPr>
          <w:rFonts w:hint="eastAsia" w:ascii="楷体" w:hAnsi="楷体" w:eastAsia="楷体" w:cs="楷体"/>
          <w:b w:val="0"/>
          <w:bCs w:val="0"/>
          <w:szCs w:val="21"/>
          <w:u w:val="none"/>
        </w:rPr>
        <w:t>指理财产品各方不能预见、不能避免且不能克服的客观情况，该事件妨碍、影响或延误任何一方依相关理财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履行其全部或部分义务。该事件包括但不限于：</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a</w:t>
      </w:r>
      <w:r>
        <w:rPr>
          <w:rFonts w:hint="eastAsia" w:ascii="楷体" w:hAnsi="楷体" w:eastAsia="楷体" w:cs="楷体"/>
          <w:b w:val="0"/>
          <w:bCs w:val="0"/>
          <w:szCs w:val="21"/>
          <w:u w:val="none"/>
        </w:rPr>
        <w:t>.地震、台风、海啸、洪水、火灾、停电、瘟疫；</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b.战争、政变、恐怖主义行动、骚乱、罢工；</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c.</w:t>
      </w:r>
      <w:r>
        <w:rPr>
          <w:rFonts w:hint="eastAsia" w:ascii="楷体" w:hAnsi="楷体" w:eastAsia="楷体" w:cs="楷体"/>
          <w:b w:val="0"/>
          <w:bCs w:val="0"/>
          <w:szCs w:val="21"/>
          <w:u w:val="none"/>
          <w:lang w:val="en-US" w:eastAsia="zh-CN"/>
        </w:rPr>
        <w:t>新的</w:t>
      </w:r>
      <w:r>
        <w:rPr>
          <w:rFonts w:hint="eastAsia" w:ascii="楷体" w:hAnsi="楷体" w:eastAsia="楷体" w:cs="楷体"/>
          <w:b w:val="0"/>
          <w:bCs w:val="0"/>
          <w:szCs w:val="21"/>
          <w:u w:val="none"/>
        </w:rPr>
        <w:t>适用法律或国家政策的颁布或实施、对原适用法律或国家政策的新修改；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d.金融管理部门强制要求终止理财产品（该等要求不可归咎于任何一方）；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e.因理财产品各方和/或其关联方运营网络系统遭受黑客攻击、电信部门技术调整或故障等原因而造成的理财产品各方和/或其关联方之服务、营业的中断或者延迟。</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（七）其他</w:t>
      </w:r>
    </w:p>
    <w:p>
      <w:pPr>
        <w:spacing w:line="360" w:lineRule="auto"/>
        <w:ind w:firstLine="422" w:firstLineChars="200"/>
        <w:contextualSpacing/>
        <w:rPr>
          <w:rFonts w:hint="eastAsia" w:ascii="楷体_GB2312" w:hAnsi="宋体" w:eastAsia="楷体_GB2312"/>
          <w:b w:val="0"/>
          <w:bCs w:val="0"/>
          <w:szCs w:val="21"/>
          <w:u w:val="none"/>
        </w:rPr>
      </w:pPr>
      <w:r>
        <w:rPr>
          <w:rFonts w:hint="eastAsia" w:ascii="楷体" w:hAnsi="楷体" w:eastAsia="楷体" w:cs="楷体"/>
          <w:b/>
          <w:bCs/>
          <w:szCs w:val="21"/>
          <w:u w:val="none"/>
          <w:lang w:val="en-US" w:eastAsia="zh-CN"/>
        </w:rPr>
        <w:t>1.</w:t>
      </w:r>
      <w:r>
        <w:rPr>
          <w:rFonts w:hint="eastAsia" w:ascii="楷体" w:hAnsi="楷体" w:eastAsia="楷体" w:cs="楷体"/>
          <w:b/>
          <w:bCs/>
          <w:spacing w:val="6"/>
          <w:szCs w:val="21"/>
          <w:u w:val="none"/>
        </w:rPr>
        <w:t>适用法</w:t>
      </w:r>
      <w:r>
        <w:rPr>
          <w:rFonts w:hint="eastAsia" w:ascii="楷体" w:hAnsi="楷体" w:eastAsia="楷体" w:cs="楷体"/>
          <w:b/>
          <w:bCs/>
          <w:spacing w:val="23"/>
          <w:sz w:val="21"/>
          <w:szCs w:val="21"/>
          <w:u w:val="none"/>
        </w:rPr>
        <w:t>律：</w:t>
      </w:r>
      <w:r>
        <w:rPr>
          <w:rFonts w:hint="eastAsia" w:ascii="楷体" w:hAnsi="楷体" w:eastAsia="楷体" w:cs="楷体"/>
          <w:b w:val="0"/>
          <w:bCs w:val="0"/>
          <w:szCs w:val="21"/>
          <w:u w:val="none"/>
        </w:rPr>
        <w:t>指在理财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pPr>
        <w:pStyle w:val="2"/>
        <w:spacing w:before="120" w:after="120" w:line="240" w:lineRule="auto"/>
        <w:rPr>
          <w:rFonts w:ascii="楷体" w:hAnsi="楷体" w:eastAsia="楷体"/>
          <w:sz w:val="28"/>
          <w:szCs w:val="28"/>
          <w:u w:val="none"/>
        </w:rPr>
      </w:pPr>
      <w:r>
        <w:rPr>
          <w:rFonts w:hint="eastAsia" w:ascii="楷体" w:hAnsi="楷体" w:eastAsia="楷体"/>
          <w:sz w:val="28"/>
          <w:szCs w:val="28"/>
          <w:u w:val="none"/>
        </w:rPr>
        <w:t>三</w:t>
      </w:r>
      <w:r>
        <w:rPr>
          <w:rFonts w:ascii="楷体" w:hAnsi="楷体" w:eastAsia="楷体"/>
          <w:sz w:val="28"/>
          <w:szCs w:val="28"/>
          <w:u w:val="none"/>
        </w:rPr>
        <w:t>、</w:t>
      </w:r>
      <w:r>
        <w:rPr>
          <w:rFonts w:hint="eastAsia" w:ascii="楷体" w:hAnsi="楷体" w:eastAsia="楷体"/>
          <w:sz w:val="28"/>
          <w:szCs w:val="28"/>
          <w:u w:val="none"/>
        </w:rPr>
        <w:t>产品概述</w:t>
      </w:r>
    </w:p>
    <w:tbl>
      <w:tblPr>
        <w:tblStyle w:val="13"/>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14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ascii="楷体" w:hAnsi="楷体" w:eastAsia="楷体" w:cs="Times New Roman"/>
                <w:b/>
                <w:bCs/>
                <w:u w:val="none"/>
              </w:rPr>
            </w:pPr>
            <w:r>
              <w:rPr>
                <w:rFonts w:hint="eastAsia" w:ascii="楷体" w:hAnsi="楷体" w:eastAsia="楷体" w:cs="Times New Roman"/>
                <w:b/>
                <w:bCs/>
                <w:u w:val="none"/>
                <w:lang w:val="en-US" w:eastAsia="zh-CN"/>
              </w:rPr>
              <w:t>理财</w:t>
            </w:r>
            <w:r>
              <w:rPr>
                <w:rFonts w:hint="eastAsia" w:ascii="楷体" w:hAnsi="楷体" w:eastAsia="楷体" w:cs="Times New Roman"/>
                <w:b/>
                <w:bCs/>
                <w:u w:val="none"/>
              </w:rPr>
              <w:t>产品名称</w:t>
            </w:r>
          </w:p>
        </w:tc>
        <w:tc>
          <w:tcPr>
            <w:tcW w:w="6146" w:type="dxa"/>
          </w:tcPr>
          <w:p>
            <w:pPr>
              <w:rPr>
                <w:rFonts w:ascii="楷体" w:hAnsi="楷体" w:eastAsia="楷体"/>
                <w:b w:val="0"/>
                <w:bCs w:val="0"/>
                <w:u w:val="none"/>
              </w:rPr>
            </w:pPr>
            <w:r>
              <w:rPr>
                <w:rFonts w:hint="eastAsia" w:ascii="楷体" w:hAnsi="楷体" w:eastAsia="楷体"/>
                <w:b w:val="0"/>
                <w:bCs w:val="0"/>
                <w:color w:val="auto"/>
                <w:u w:val="none"/>
                <w:lang w:eastAsia="zh-CN"/>
              </w:rPr>
              <w:t>【上银理财“易享利”系列开放式持有期理财产品WPEK26M0329期】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Times New Roman"/>
                <w:b/>
                <w:bCs/>
                <w:u w:val="none"/>
                <w:lang w:val="en-US" w:eastAsia="zh-CN"/>
              </w:rPr>
            </w:pPr>
            <w:r>
              <w:rPr>
                <w:rFonts w:hint="eastAsia" w:ascii="楷体" w:hAnsi="楷体" w:eastAsia="楷体" w:cs="Times New Roman"/>
                <w:b/>
                <w:bCs/>
                <w:u w:val="none"/>
              </w:rPr>
              <w:t>产品</w:t>
            </w:r>
            <w:r>
              <w:rPr>
                <w:rFonts w:hint="eastAsia" w:ascii="楷体" w:hAnsi="楷体" w:eastAsia="楷体" w:cs="Times New Roman"/>
                <w:b/>
                <w:bCs/>
                <w:u w:val="none"/>
                <w:lang w:val="en-US" w:eastAsia="zh-CN"/>
              </w:rPr>
              <w:t>销售名称</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eastAsia="zh-CN"/>
              </w:rPr>
              <w:t>【上银理财易享利-90天持有期29号B】</w:t>
            </w:r>
            <w:r>
              <w:rPr>
                <w:rFonts w:hint="eastAsia" w:ascii="楷体" w:hAnsi="楷体" w:eastAsia="楷体"/>
                <w:b w:val="0"/>
                <w:bCs w:val="0"/>
                <w:color w:val="auto"/>
                <w:u w:val="none"/>
                <w:lang w:val="en-US" w:eastAsia="zh-CN"/>
              </w:rPr>
              <w:t>，</w:t>
            </w:r>
          </w:p>
          <w:p>
            <w:pPr>
              <w:rPr>
                <w:rFonts w:hint="eastAsia" w:ascii="楷体" w:hAnsi="楷体" w:eastAsia="楷体"/>
                <w:b w:val="0"/>
                <w:bCs w:val="0"/>
                <w:u w:val="none"/>
                <w:lang w:val="en-US" w:eastAsia="zh-CN"/>
              </w:rPr>
            </w:pPr>
            <w:r>
              <w:rPr>
                <w:rFonts w:hint="eastAsia" w:ascii="楷体" w:hAnsi="楷体" w:eastAsia="楷体"/>
                <w:b w:val="0"/>
                <w:bCs w:val="0"/>
                <w:color w:val="auto"/>
                <w:u w:val="none"/>
                <w:lang w:val="en-US" w:eastAsia="zh-CN"/>
              </w:rPr>
              <w:t>适用于</w:t>
            </w:r>
            <w:r>
              <w:rPr>
                <w:rFonts w:hint="eastAsia" w:ascii="楷体" w:hAnsi="楷体" w:eastAsia="楷体"/>
                <w:b w:val="0"/>
                <w:bCs w:val="0"/>
                <w:color w:val="auto"/>
                <w:u w:val="none"/>
                <w:lang w:eastAsia="zh-CN"/>
              </w:rPr>
              <w:t>【B】</w:t>
            </w:r>
            <w:r>
              <w:rPr>
                <w:rFonts w:hint="eastAsia" w:ascii="楷体" w:hAnsi="楷体" w:eastAsia="楷体"/>
                <w:b w:val="0"/>
                <w:bCs w:val="0"/>
                <w:color w:val="auto"/>
                <w:u w:val="none"/>
                <w:lang w:val="en-US" w:eastAsia="zh-CN"/>
              </w:rPr>
              <w:t>类份额</w:t>
            </w:r>
            <w:r>
              <w:rPr>
                <w:rFonts w:hint="eastAsia" w:ascii="楷体" w:hAnsi="楷体" w:eastAsia="楷体"/>
                <w:b w:val="0"/>
                <w:bCs w:val="0"/>
                <w:u w:val="none"/>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ascii="楷体" w:hAnsi="楷体" w:eastAsia="楷体"/>
                <w:b/>
                <w:bCs/>
                <w:u w:val="none"/>
              </w:rPr>
            </w:pPr>
            <w:r>
              <w:rPr>
                <w:rFonts w:ascii="楷体" w:hAnsi="楷体" w:eastAsia="楷体"/>
                <w:b/>
                <w:bCs/>
                <w:u w:val="none"/>
              </w:rPr>
              <w:t>产品</w:t>
            </w:r>
            <w:r>
              <w:rPr>
                <w:rFonts w:hint="eastAsia" w:ascii="楷体" w:hAnsi="楷体" w:eastAsia="楷体"/>
                <w:b/>
                <w:bCs/>
                <w:u w:val="none"/>
                <w:lang w:val="en-US" w:eastAsia="zh-CN"/>
              </w:rPr>
              <w:t>登记</w:t>
            </w:r>
            <w:r>
              <w:rPr>
                <w:rFonts w:ascii="楷体" w:hAnsi="楷体" w:eastAsia="楷体"/>
                <w:b/>
                <w:bCs/>
                <w:u w:val="none"/>
              </w:rPr>
              <w:t>编码</w:t>
            </w:r>
          </w:p>
        </w:tc>
        <w:tc>
          <w:tcPr>
            <w:tcW w:w="6146" w:type="dxa"/>
            <w:vAlign w:val="center"/>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eastAsia="zh-CN"/>
              </w:rPr>
              <w:t>【Z7007126000323】</w:t>
            </w:r>
          </w:p>
          <w:p>
            <w:pPr>
              <w:jc w:val="both"/>
              <w:rPr>
                <w:rFonts w:ascii="楷体" w:hAnsi="楷体" w:eastAsia="楷体"/>
                <w:b w:val="0"/>
                <w:bCs w:val="0"/>
                <w:color w:val="auto"/>
                <w:u w:val="none"/>
              </w:rPr>
            </w:pPr>
            <w:r>
              <w:rPr>
                <w:rFonts w:hint="eastAsia" w:ascii="楷体" w:hAnsi="楷体" w:eastAsia="楷体"/>
                <w:b w:val="0"/>
                <w:bCs w:val="0"/>
                <w:color w:val="auto"/>
                <w:szCs w:val="22"/>
                <w:u w:val="none"/>
                <w:lang w:val="en-US" w:eastAsia="zh-CN" w:bidi="ar"/>
              </w:rPr>
              <w:t>本理财产品在全国银行业理财信息登记系统对理财产品进行信息登记后，由全国银行业理财信息登记系统发放的唯一性的理财产品编码。投资者可依据登记编码在中国理财网（</w:t>
            </w:r>
            <w:r>
              <w:rPr>
                <w:rFonts w:ascii="楷体" w:hAnsi="楷体" w:eastAsia="楷体"/>
                <w:b w:val="0"/>
                <w:bCs w:val="0"/>
                <w:color w:val="auto"/>
                <w:u w:val="none"/>
              </w:rPr>
              <w:t>www.chinawealth.com.cn</w:t>
            </w:r>
            <w:r>
              <w:rPr>
                <w:rFonts w:hint="eastAsia" w:ascii="楷体" w:hAnsi="楷体" w:eastAsia="楷体"/>
                <w:b w:val="0"/>
                <w:bCs w:val="0"/>
                <w:color w:val="auto"/>
                <w:szCs w:val="22"/>
                <w:u w:val="none"/>
                <w:lang w:val="en-US" w:eastAsia="zh-CN" w:bidi="ar"/>
              </w:rPr>
              <w:t>）查询产品信息。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cs="Times New Roman"/>
                <w:b/>
                <w:bCs/>
                <w:u w:val="none"/>
                <w:lang w:val="en-US" w:eastAsia="zh-CN"/>
              </w:rPr>
              <w:t>产品代码</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u w:val="none"/>
                <w:lang w:eastAsia="zh-CN"/>
              </w:rPr>
              <w:t>【WPEK26M0329】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b/>
                <w:bCs/>
                <w:u w:val="none"/>
              </w:rPr>
            </w:pPr>
            <w:r>
              <w:rPr>
                <w:rFonts w:hint="eastAsia" w:ascii="楷体" w:hAnsi="楷体" w:eastAsia="楷体" w:cs="Times New Roman"/>
                <w:b/>
                <w:bCs/>
                <w:u w:val="none"/>
                <w:lang w:val="en-US" w:eastAsia="zh-CN"/>
              </w:rPr>
              <w:t>销售</w:t>
            </w:r>
            <w:r>
              <w:rPr>
                <w:rFonts w:hint="eastAsia" w:ascii="楷体" w:hAnsi="楷体" w:eastAsia="楷体" w:cs="Times New Roman"/>
                <w:b/>
                <w:bCs/>
                <w:u w:val="none"/>
              </w:rPr>
              <w:t>代码</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eastAsia="zh-CN"/>
              </w:rPr>
              <w:t>【B】</w:t>
            </w:r>
            <w:r>
              <w:rPr>
                <w:rFonts w:hint="eastAsia" w:ascii="楷体" w:hAnsi="楷体" w:eastAsia="楷体"/>
                <w:b w:val="0"/>
                <w:bCs w:val="0"/>
                <w:color w:val="auto"/>
                <w:u w:val="none"/>
                <w:lang w:val="en-US" w:eastAsia="zh-CN"/>
              </w:rPr>
              <w:t>类份额，</w:t>
            </w:r>
            <w:r>
              <w:rPr>
                <w:rFonts w:hint="eastAsia" w:ascii="楷体" w:hAnsi="楷体" w:eastAsia="楷体"/>
                <w:b w:val="0"/>
                <w:bCs w:val="0"/>
                <w:color w:val="auto"/>
                <w:u w:val="none"/>
                <w:lang w:eastAsia="zh-CN"/>
              </w:rPr>
              <w:t>【WPEK26M0329B】</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76" w:type="dxa"/>
            <w:vAlign w:val="center"/>
          </w:tcPr>
          <w:p>
            <w:pPr>
              <w:rPr>
                <w:rFonts w:hint="eastAsia" w:ascii="楷体" w:hAnsi="楷体" w:eastAsia="楷体" w:cs="Times New Roman"/>
                <w:b/>
                <w:bCs/>
                <w:u w:val="none"/>
              </w:rPr>
            </w:pPr>
            <w:r>
              <w:rPr>
                <w:rFonts w:hint="eastAsia" w:ascii="楷体" w:hAnsi="楷体" w:eastAsia="楷体"/>
                <w:b/>
                <w:bCs/>
                <w:u w:val="none"/>
                <w:lang w:val="en-US" w:eastAsia="zh-CN"/>
              </w:rPr>
              <w:t>产品份额类别</w:t>
            </w:r>
          </w:p>
        </w:tc>
        <w:tc>
          <w:tcPr>
            <w:tcW w:w="6146" w:type="dxa"/>
            <w:vAlign w:val="top"/>
          </w:tcPr>
          <w:p>
            <w:pPr>
              <w:keepNext w:val="0"/>
              <w:keepLines w:val="0"/>
              <w:widowControl/>
              <w:numPr>
                <w:ilvl w:val="0"/>
                <w:numId w:val="1"/>
              </w:numPr>
              <w:suppressLineNumbers w:val="0"/>
              <w:jc w:val="left"/>
              <w:rPr>
                <w:rFonts w:hint="eastAsia" w:ascii="楷体" w:hAnsi="楷体" w:eastAsia="楷体" w:cstheme="minorBidi"/>
                <w:b w:val="0"/>
                <w:bCs w:val="0"/>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本产品根据投资者购买理财产品的金额、投资者类型、</w:t>
            </w:r>
            <w:r>
              <w:rPr>
                <w:rFonts w:hint="eastAsia" w:ascii="楷体" w:hAnsi="楷体" w:eastAsia="楷体" w:cstheme="minorBidi"/>
                <w:b w:val="0"/>
                <w:bCs w:val="0"/>
                <w:kern w:val="2"/>
                <w:sz w:val="21"/>
                <w:szCs w:val="22"/>
                <w:u w:val="none"/>
                <w:lang w:val="en-US" w:eastAsia="zh-CN" w:bidi="ar"/>
              </w:rPr>
              <w:t>销售渠道</w:t>
            </w:r>
            <w:r>
              <w:rPr>
                <w:rFonts w:hint="eastAsia" w:ascii="楷体" w:hAnsi="楷体" w:eastAsia="楷体" w:cstheme="minorBidi"/>
                <w:b w:val="0"/>
                <w:bCs w:val="0"/>
                <w:color w:val="auto"/>
                <w:kern w:val="2"/>
                <w:sz w:val="21"/>
                <w:szCs w:val="22"/>
                <w:u w:val="none"/>
                <w:lang w:val="en-US" w:eastAsia="zh-CN" w:bidi="ar"/>
              </w:rPr>
              <w:t>等因素，对投资者所持有的理财产品份额设置不同的理财产品份额类别。</w:t>
            </w:r>
          </w:p>
          <w:p>
            <w:pPr>
              <w:keepNext w:val="0"/>
              <w:keepLines w:val="0"/>
              <w:widowControl/>
              <w:suppressLineNumbers w:val="0"/>
              <w:jc w:val="left"/>
              <w:rPr>
                <w:rFonts w:hint="eastAsia" w:ascii="楷体" w:hAnsi="楷体" w:eastAsia="楷体"/>
                <w:b w:val="0"/>
                <w:bCs w:val="0"/>
                <w:u w:val="none"/>
              </w:rPr>
            </w:pPr>
            <w:r>
              <w:rPr>
                <w:rFonts w:hint="eastAsia" w:ascii="楷体" w:hAnsi="楷体" w:eastAsia="楷体" w:cstheme="minorBidi"/>
                <w:b w:val="0"/>
                <w:bCs w:val="0"/>
                <w:kern w:val="2"/>
                <w:sz w:val="21"/>
                <w:szCs w:val="22"/>
                <w:u w:val="none"/>
                <w:lang w:val="en-US" w:eastAsia="zh-CN" w:bidi="ar"/>
              </w:rPr>
              <w:t>2、</w:t>
            </w:r>
            <w:r>
              <w:rPr>
                <w:rFonts w:hint="eastAsia" w:ascii="楷体" w:hAnsi="楷体" w:eastAsia="楷体" w:cstheme="minorBidi"/>
                <w:b w:val="0"/>
                <w:bCs w:val="0"/>
                <w:color w:val="auto"/>
                <w:kern w:val="2"/>
                <w:sz w:val="21"/>
                <w:szCs w:val="22"/>
                <w:u w:val="none"/>
                <w:lang w:val="en-US" w:eastAsia="zh-CN" w:bidi="ar"/>
              </w:rPr>
              <w:t>本产品设置不同的理财产品份额，每类理财产品份额</w:t>
            </w:r>
            <w:r>
              <w:rPr>
                <w:rFonts w:hint="eastAsia" w:ascii="楷体" w:hAnsi="楷体" w:eastAsia="楷体" w:cstheme="minorBidi"/>
                <w:b w:val="0"/>
                <w:bCs w:val="0"/>
                <w:kern w:val="2"/>
                <w:sz w:val="21"/>
                <w:szCs w:val="22"/>
                <w:u w:val="none"/>
                <w:lang w:val="en-US" w:eastAsia="zh-CN" w:bidi="ar"/>
              </w:rPr>
              <w:t>以下内容将可能</w:t>
            </w:r>
            <w:r>
              <w:rPr>
                <w:rFonts w:hint="eastAsia" w:ascii="楷体" w:hAnsi="楷体" w:eastAsia="楷体" w:cstheme="minorBidi"/>
                <w:b w:val="0"/>
                <w:bCs w:val="0"/>
                <w:color w:val="auto"/>
                <w:kern w:val="2"/>
                <w:sz w:val="21"/>
                <w:szCs w:val="22"/>
                <w:u w:val="none"/>
                <w:lang w:val="en-US" w:eastAsia="zh-CN" w:bidi="ar"/>
              </w:rPr>
              <w:t>单独设置：</w:t>
            </w:r>
          </w:p>
          <w:p>
            <w:pPr>
              <w:keepNext w:val="0"/>
              <w:keepLines w:val="0"/>
              <w:widowControl/>
              <w:suppressLineNumbers w:val="0"/>
              <w:jc w:val="left"/>
              <w:rPr>
                <w:rFonts w:hint="eastAsia" w:ascii="楷体" w:hAnsi="楷体" w:eastAsia="楷体"/>
                <w:b w:val="0"/>
                <w:bCs w:val="0"/>
                <w:color w:val="auto"/>
                <w:u w:val="none"/>
                <w:lang w:bidi="ar"/>
              </w:rPr>
            </w:pPr>
            <w:r>
              <w:rPr>
                <w:rFonts w:hint="eastAsia" w:ascii="楷体" w:hAnsi="楷体" w:eastAsia="楷体" w:cstheme="minorBidi"/>
                <w:b w:val="0"/>
                <w:bCs w:val="0"/>
                <w:color w:val="auto"/>
                <w:kern w:val="2"/>
                <w:sz w:val="21"/>
                <w:szCs w:val="22"/>
                <w:u w:val="none"/>
                <w:lang w:val="en-US" w:eastAsia="zh-CN" w:bidi="ar"/>
              </w:rPr>
              <w:t>（1）产品销售名称</w:t>
            </w:r>
          </w:p>
          <w:p>
            <w:pPr>
              <w:keepNext w:val="0"/>
              <w:keepLines w:val="0"/>
              <w:widowControl/>
              <w:suppressLineNumbers w:val="0"/>
              <w:jc w:val="left"/>
              <w:rPr>
                <w:rFonts w:hint="eastAsia" w:ascii="楷体" w:hAnsi="楷体" w:eastAsia="楷体" w:cstheme="minorBidi"/>
                <w:b w:val="0"/>
                <w:bCs w:val="0"/>
                <w:color w:val="auto"/>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（2）销售代码</w:t>
            </w:r>
          </w:p>
          <w:p>
            <w:pPr>
              <w:keepNext w:val="0"/>
              <w:keepLines w:val="0"/>
              <w:widowControl/>
              <w:suppressLineNumbers w:val="0"/>
              <w:jc w:val="left"/>
              <w:rPr>
                <w:rFonts w:hint="eastAsia" w:ascii="楷体" w:hAnsi="楷体" w:eastAsia="楷体" w:cstheme="minorBidi"/>
                <w:b w:val="0"/>
                <w:bCs w:val="0"/>
                <w:color w:val="auto"/>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（3）销售机构</w:t>
            </w:r>
          </w:p>
          <w:p>
            <w:pPr>
              <w:keepNext w:val="0"/>
              <w:keepLines w:val="0"/>
              <w:widowControl/>
              <w:suppressLineNumbers w:val="0"/>
              <w:jc w:val="left"/>
              <w:rPr>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（4）发售对象</w:t>
            </w:r>
          </w:p>
          <w:p>
            <w:pPr>
              <w:keepNext w:val="0"/>
              <w:keepLines w:val="0"/>
              <w:widowControl/>
              <w:suppressLineNumbers w:val="0"/>
              <w:jc w:val="left"/>
              <w:rPr>
                <w:rFonts w:hint="eastAsia"/>
                <w:b w:val="0"/>
                <w:bCs w:val="0"/>
                <w:color w:val="auto"/>
                <w:highlight w:val="none"/>
                <w:u w:val="none"/>
                <w:lang w:val="en-US" w:eastAsia="zh-CN"/>
              </w:rPr>
            </w:pPr>
            <w:r>
              <w:rPr>
                <w:rFonts w:hint="eastAsia" w:ascii="楷体" w:hAnsi="楷体" w:eastAsia="楷体" w:cstheme="minorBidi"/>
                <w:b w:val="0"/>
                <w:bCs w:val="0"/>
                <w:color w:val="auto"/>
                <w:kern w:val="2"/>
                <w:sz w:val="21"/>
                <w:szCs w:val="22"/>
                <w:highlight w:val="none"/>
                <w:u w:val="none"/>
                <w:lang w:val="en-US" w:eastAsia="zh-CN" w:bidi="ar"/>
              </w:rPr>
              <w:t>（5）费率设置</w:t>
            </w:r>
          </w:p>
          <w:p>
            <w:pPr>
              <w:keepNext w:val="0"/>
              <w:keepLines w:val="0"/>
              <w:widowControl/>
              <w:suppressLineNumbers w:val="0"/>
              <w:jc w:val="left"/>
              <w:rPr>
                <w:rFonts w:hint="eastAsia" w:ascii="楷体" w:hAnsi="楷体" w:eastAsia="楷体" w:cstheme="minorBidi"/>
                <w:b w:val="0"/>
                <w:bCs w:val="0"/>
                <w:color w:val="auto"/>
                <w:kern w:val="2"/>
                <w:sz w:val="21"/>
                <w:szCs w:val="22"/>
                <w:highlight w:val="none"/>
                <w:u w:val="none"/>
                <w:lang w:val="en-US" w:eastAsia="zh-CN" w:bidi="ar"/>
              </w:rPr>
            </w:pPr>
            <w:r>
              <w:rPr>
                <w:rFonts w:hint="eastAsia" w:ascii="楷体" w:hAnsi="楷体" w:eastAsia="楷体" w:cstheme="minorBidi"/>
                <w:b w:val="0"/>
                <w:bCs w:val="0"/>
                <w:color w:val="auto"/>
                <w:kern w:val="2"/>
                <w:sz w:val="21"/>
                <w:szCs w:val="22"/>
                <w:highlight w:val="none"/>
                <w:u w:val="none"/>
                <w:lang w:val="en-US" w:eastAsia="zh-CN" w:bidi="ar"/>
              </w:rPr>
              <w:t>（6）收费方式</w:t>
            </w:r>
          </w:p>
          <w:p>
            <w:pPr>
              <w:keepNext w:val="0"/>
              <w:keepLines w:val="0"/>
              <w:widowControl/>
              <w:suppressLineNumbers w:val="0"/>
              <w:jc w:val="left"/>
              <w:rPr>
                <w:rFonts w:hint="default" w:ascii="楷体" w:hAnsi="楷体" w:eastAsia="楷体"/>
                <w:b w:val="0"/>
                <w:bCs w:val="0"/>
                <w:color w:val="auto"/>
                <w:highlight w:val="none"/>
                <w:u w:val="none"/>
                <w:lang w:bidi="ar"/>
              </w:rPr>
            </w:pPr>
            <w:r>
              <w:rPr>
                <w:rFonts w:hint="eastAsia" w:ascii="楷体" w:hAnsi="楷体" w:eastAsia="楷体" w:cstheme="minorBidi"/>
                <w:b w:val="0"/>
                <w:bCs w:val="0"/>
                <w:color w:val="auto"/>
                <w:kern w:val="2"/>
                <w:sz w:val="21"/>
                <w:szCs w:val="22"/>
                <w:highlight w:val="none"/>
                <w:u w:val="none"/>
                <w:lang w:val="en-US" w:eastAsia="zh-CN" w:bidi="ar"/>
              </w:rPr>
              <w:t>（7）业绩比较基准</w:t>
            </w:r>
          </w:p>
          <w:p>
            <w:pPr>
              <w:keepNext w:val="0"/>
              <w:keepLines w:val="0"/>
              <w:widowControl/>
              <w:suppressLineNumbers w:val="0"/>
              <w:jc w:val="left"/>
              <w:rPr>
                <w:rFonts w:hint="eastAsia" w:ascii="楷体" w:hAnsi="楷体" w:eastAsia="楷体"/>
                <w:b w:val="0"/>
                <w:bCs w:val="0"/>
                <w:color w:val="auto"/>
                <w:highlight w:val="none"/>
                <w:u w:val="none"/>
                <w:lang w:bidi="ar"/>
              </w:rPr>
            </w:pPr>
            <w:r>
              <w:rPr>
                <w:rFonts w:hint="eastAsia" w:ascii="楷体" w:hAnsi="楷体" w:eastAsia="楷体" w:cstheme="minorBidi"/>
                <w:b w:val="0"/>
                <w:bCs w:val="0"/>
                <w:color w:val="auto"/>
                <w:kern w:val="2"/>
                <w:sz w:val="21"/>
                <w:szCs w:val="22"/>
                <w:highlight w:val="none"/>
                <w:u w:val="none"/>
                <w:lang w:val="en-US" w:eastAsia="zh-CN" w:bidi="ar"/>
              </w:rPr>
              <w:t>（8）销售起点金额及递增金额（认购、申购的起点金额）</w:t>
            </w:r>
          </w:p>
          <w:p>
            <w:pPr>
              <w:keepNext w:val="0"/>
              <w:keepLines w:val="0"/>
              <w:widowControl/>
              <w:suppressLineNumbers w:val="0"/>
              <w:jc w:val="left"/>
              <w:rPr>
                <w:rFonts w:hint="eastAsia" w:ascii="楷体" w:hAnsi="楷体" w:eastAsia="楷体"/>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（9）投资者认购、申购和赎回的数量限制</w:t>
            </w:r>
          </w:p>
          <w:p>
            <w:pPr>
              <w:keepNext w:val="0"/>
              <w:keepLines w:val="0"/>
              <w:widowControl/>
              <w:suppressLineNumbers w:val="0"/>
              <w:jc w:val="left"/>
              <w:rPr>
                <w:rFonts w:hint="eastAsia" w:ascii="楷体" w:hAnsi="楷体" w:eastAsia="楷体" w:cstheme="minorBidi"/>
                <w:b w:val="0"/>
                <w:bCs w:val="0"/>
                <w:color w:val="auto"/>
                <w:kern w:val="2"/>
                <w:sz w:val="21"/>
                <w:szCs w:val="22"/>
                <w:highlight w:val="none"/>
                <w:u w:val="none"/>
                <w:lang w:val="en-US" w:eastAsia="zh-CN" w:bidi="ar"/>
              </w:rPr>
            </w:pPr>
            <w:r>
              <w:rPr>
                <w:rFonts w:hint="eastAsia" w:ascii="楷体" w:hAnsi="楷体" w:eastAsia="楷体" w:cstheme="minorBidi"/>
                <w:b w:val="0"/>
                <w:bCs w:val="0"/>
                <w:color w:val="auto"/>
                <w:kern w:val="2"/>
                <w:sz w:val="21"/>
                <w:szCs w:val="22"/>
                <w:highlight w:val="none"/>
                <w:u w:val="none"/>
                <w:lang w:val="en-US" w:eastAsia="zh-CN" w:bidi="ar"/>
              </w:rPr>
              <w:t>（10）投资者持有本产品的最高限额、最低限额</w:t>
            </w:r>
          </w:p>
          <w:p>
            <w:pPr>
              <w:keepNext w:val="0"/>
              <w:keepLines w:val="0"/>
              <w:widowControl/>
              <w:suppressLineNumbers w:val="0"/>
              <w:jc w:val="left"/>
              <w:rPr>
                <w:rFonts w:hint="eastAsia" w:ascii="楷体" w:hAnsi="楷体" w:eastAsia="楷体"/>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（11）产品规模上限</w:t>
            </w:r>
          </w:p>
          <w:p>
            <w:pPr>
              <w:keepNext w:val="0"/>
              <w:keepLines w:val="0"/>
              <w:widowControl/>
              <w:suppressLineNumbers w:val="0"/>
              <w:jc w:val="left"/>
              <w:rPr>
                <w:rFonts w:hint="eastAsia" w:ascii="楷体" w:hAnsi="楷体" w:eastAsia="楷体"/>
                <w:b w:val="0"/>
                <w:bCs w:val="0"/>
                <w:color w:val="auto"/>
                <w:highlight w:val="none"/>
                <w:u w:val="none"/>
              </w:rPr>
            </w:pPr>
            <w:r>
              <w:rPr>
                <w:rFonts w:hint="eastAsia" w:ascii="楷体" w:hAnsi="楷体" w:eastAsia="楷体" w:cstheme="minorBidi"/>
                <w:b w:val="0"/>
                <w:bCs w:val="0"/>
                <w:color w:val="auto"/>
                <w:kern w:val="2"/>
                <w:sz w:val="21"/>
                <w:szCs w:val="22"/>
                <w:highlight w:val="none"/>
                <w:u w:val="none"/>
                <w:lang w:val="en-US" w:eastAsia="zh-CN" w:bidi="ar"/>
              </w:rPr>
              <w:t>（12）分别计算和公告产品份额净值</w:t>
            </w:r>
          </w:p>
          <w:p>
            <w:pPr>
              <w:keepNext w:val="0"/>
              <w:keepLines w:val="0"/>
              <w:widowControl/>
              <w:suppressLineNumbers w:val="0"/>
              <w:jc w:val="left"/>
              <w:rPr>
                <w:rFonts w:hint="eastAsia" w:ascii="楷体" w:hAnsi="楷体" w:eastAsia="楷体" w:cstheme="minorBidi"/>
                <w:b w:val="0"/>
                <w:bCs w:val="0"/>
                <w:kern w:val="2"/>
                <w:sz w:val="21"/>
                <w:szCs w:val="22"/>
                <w:u w:val="none"/>
                <w:lang w:val="en-US" w:eastAsia="zh-CN" w:bidi="ar"/>
              </w:rPr>
            </w:pPr>
            <w:r>
              <w:rPr>
                <w:rFonts w:hint="eastAsia" w:ascii="楷体" w:hAnsi="楷体" w:eastAsia="楷体" w:cstheme="minorBidi"/>
                <w:b w:val="0"/>
                <w:bCs w:val="0"/>
                <w:color w:val="auto"/>
                <w:kern w:val="2"/>
                <w:sz w:val="21"/>
                <w:szCs w:val="22"/>
                <w:u w:val="none"/>
                <w:lang w:val="en-US" w:eastAsia="zh-CN" w:bidi="ar"/>
              </w:rPr>
              <w:t>3</w:t>
            </w:r>
            <w:r>
              <w:rPr>
                <w:rFonts w:hint="eastAsia" w:ascii="楷体" w:hAnsi="楷体" w:eastAsia="楷体" w:cstheme="minorBidi"/>
                <w:b w:val="0"/>
                <w:bCs w:val="0"/>
                <w:kern w:val="2"/>
                <w:sz w:val="21"/>
                <w:szCs w:val="22"/>
                <w:u w:val="none"/>
                <w:lang w:val="en-US" w:eastAsia="zh-CN" w:bidi="ar"/>
              </w:rPr>
              <w:t>、</w:t>
            </w:r>
            <w:r>
              <w:rPr>
                <w:rFonts w:hint="eastAsia" w:ascii="楷体" w:hAnsi="楷体" w:eastAsia="楷体" w:cstheme="minorBidi"/>
                <w:b w:val="0"/>
                <w:bCs w:val="0"/>
                <w:color w:val="auto"/>
                <w:kern w:val="2"/>
                <w:sz w:val="21"/>
                <w:szCs w:val="22"/>
                <w:u w:val="none"/>
                <w:lang w:val="en-US" w:eastAsia="zh-CN" w:bidi="ar"/>
              </w:rPr>
              <w:t>投资者可根据实际情况自行选择认购的产品份额类别。</w:t>
            </w:r>
          </w:p>
          <w:p>
            <w:pPr>
              <w:keepNext w:val="0"/>
              <w:keepLines w:val="0"/>
              <w:widowControl/>
              <w:suppressLineNumbers w:val="0"/>
              <w:jc w:val="left"/>
              <w:rPr>
                <w:rFonts w:hint="default" w:ascii="楷体" w:hAnsi="楷体" w:eastAsia="楷体"/>
                <w:b w:val="0"/>
                <w:bCs w:val="0"/>
                <w:u w:val="none"/>
                <w:lang w:bidi="ar"/>
              </w:rPr>
            </w:pPr>
            <w:r>
              <w:rPr>
                <w:rFonts w:hint="eastAsia" w:ascii="楷体" w:hAnsi="楷体" w:eastAsia="楷体" w:cstheme="minorBidi"/>
                <w:b w:val="0"/>
                <w:bCs w:val="0"/>
                <w:kern w:val="2"/>
                <w:sz w:val="21"/>
                <w:szCs w:val="22"/>
                <w:u w:val="none"/>
                <w:lang w:val="en-US" w:eastAsia="zh-CN" w:bidi="ar"/>
              </w:rPr>
              <w:t>4、管理人有权根据实际情况增加新的产品份额类别、停止现有产品份额类别的销售、调整产品份额类别设置或对份额分类方法及规则进行调整。如有调整，以管理人公告为准。</w:t>
            </w:r>
          </w:p>
          <w:p>
            <w:pPr>
              <w:widowControl/>
              <w:jc w:val="left"/>
              <w:rPr>
                <w:rFonts w:hint="eastAsia" w:ascii="楷体" w:hAnsi="楷体" w:eastAsia="楷体"/>
                <w:b w:val="0"/>
                <w:bCs w:val="0"/>
                <w:color w:val="C00000"/>
                <w:u w:val="none"/>
                <w:lang w:val="en-US" w:eastAsia="zh-CN"/>
              </w:rPr>
            </w:pPr>
            <w:r>
              <w:rPr>
                <w:rFonts w:hint="eastAsia" w:ascii="楷体" w:hAnsi="楷体" w:eastAsia="楷体" w:cstheme="minorBidi"/>
                <w:b w:val="0"/>
                <w:bCs w:val="0"/>
                <w:color w:val="auto"/>
                <w:kern w:val="2"/>
                <w:sz w:val="21"/>
                <w:szCs w:val="22"/>
                <w:u w:val="none"/>
                <w:lang w:val="en-US" w:eastAsia="zh-CN" w:bidi="ar"/>
              </w:rPr>
              <w:t>注：本《产品说明书》所列示产品份额类别仅为本产品项下某</w:t>
            </w:r>
            <w:r>
              <w:rPr>
                <w:rFonts w:hint="eastAsia" w:ascii="楷体" w:hAnsi="楷体" w:eastAsia="楷体" w:cstheme="minorBidi"/>
                <w:b w:val="0"/>
                <w:bCs w:val="0"/>
                <w:kern w:val="2"/>
                <w:sz w:val="21"/>
                <w:szCs w:val="22"/>
                <w:u w:val="none"/>
                <w:lang w:val="en-US" w:eastAsia="zh-CN" w:bidi="ar"/>
              </w:rPr>
              <w:t>一</w:t>
            </w:r>
            <w:r>
              <w:rPr>
                <w:rFonts w:hint="eastAsia" w:ascii="楷体" w:hAnsi="楷体" w:eastAsia="楷体" w:cstheme="minorBidi"/>
                <w:b w:val="0"/>
                <w:bCs w:val="0"/>
                <w:color w:val="auto"/>
                <w:kern w:val="2"/>
                <w:sz w:val="21"/>
                <w:szCs w:val="22"/>
                <w:u w:val="none"/>
                <w:lang w:val="en-US" w:eastAsia="zh-CN" w:bidi="ar"/>
              </w:rPr>
              <w:t>类或某几类产品份额。其他类别的产品份额情况以产品管理人披露为准。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heme="minorBidi"/>
                <w:b/>
                <w:bCs/>
                <w:kern w:val="2"/>
                <w:sz w:val="21"/>
                <w:szCs w:val="22"/>
                <w:u w:val="none"/>
                <w:lang w:val="en-US" w:eastAsia="zh-CN" w:bidi="ar-SA"/>
              </w:rPr>
            </w:pPr>
            <w:r>
              <w:rPr>
                <w:rFonts w:hint="eastAsia" w:ascii="楷体" w:hAnsi="楷体" w:eastAsia="楷体"/>
                <w:b/>
                <w:bCs/>
                <w:u w:val="none"/>
              </w:rPr>
              <w:t>募集方式</w:t>
            </w:r>
          </w:p>
        </w:tc>
        <w:tc>
          <w:tcPr>
            <w:tcW w:w="6146" w:type="dxa"/>
            <w:vAlign w:val="top"/>
          </w:tcPr>
          <w:p>
            <w:pPr>
              <w:rPr>
                <w:rFonts w:hint="eastAsia" w:ascii="楷体" w:hAnsi="楷体" w:eastAsia="楷体" w:cstheme="minorBidi"/>
                <w:b w:val="0"/>
                <w:bCs w:val="0"/>
                <w:color w:val="auto"/>
                <w:kern w:val="2"/>
                <w:sz w:val="21"/>
                <w:szCs w:val="22"/>
                <w:u w:val="none"/>
                <w:lang w:val="en-US" w:eastAsia="zh-CN" w:bidi="ar-SA"/>
              </w:rPr>
            </w:pPr>
            <w:r>
              <w:rPr>
                <w:rFonts w:hint="eastAsia" w:ascii="楷体" w:hAnsi="楷体" w:eastAsia="楷体"/>
                <w:b w:val="0"/>
                <w:bCs w:val="0"/>
                <w:color w:val="auto"/>
                <w:u w:val="none"/>
              </w:rPr>
              <w:t>公募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76" w:type="dxa"/>
            <w:vAlign w:val="center"/>
          </w:tcPr>
          <w:p>
            <w:pPr>
              <w:rPr>
                <w:rFonts w:hint="default" w:ascii="楷体" w:hAnsi="楷体" w:eastAsia="楷体"/>
                <w:b/>
                <w:bCs/>
                <w:u w:val="none"/>
                <w:lang w:val="en-US" w:eastAsia="zh-CN"/>
              </w:rPr>
            </w:pPr>
            <w:r>
              <w:rPr>
                <w:rFonts w:hint="eastAsia" w:ascii="楷体" w:hAnsi="楷体" w:eastAsia="楷体"/>
                <w:b/>
                <w:bCs/>
                <w:u w:val="none"/>
                <w:lang w:val="en-US" w:eastAsia="zh-CN"/>
              </w:rPr>
              <w:t>产品运作方式</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val="en-US" w:eastAsia="zh-CN"/>
              </w:rPr>
              <w:t>开放式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Times New Roman"/>
                <w:b/>
                <w:bCs/>
                <w:kern w:val="2"/>
                <w:sz w:val="21"/>
                <w:szCs w:val="22"/>
                <w:u w:val="none"/>
                <w:lang w:val="en-US" w:eastAsia="zh-CN" w:bidi="ar-SA"/>
              </w:rPr>
            </w:pPr>
            <w:r>
              <w:rPr>
                <w:rFonts w:hint="eastAsia" w:ascii="楷体" w:hAnsi="楷体" w:eastAsia="楷体"/>
                <w:b/>
                <w:bCs/>
                <w:u w:val="none"/>
              </w:rPr>
              <w:t>产品</w:t>
            </w:r>
            <w:r>
              <w:rPr>
                <w:rFonts w:hint="eastAsia" w:ascii="楷体" w:hAnsi="楷体" w:eastAsia="楷体"/>
                <w:b/>
                <w:bCs/>
                <w:u w:val="none"/>
                <w:lang w:val="en-US" w:eastAsia="zh-CN"/>
              </w:rPr>
              <w:t>类型</w:t>
            </w:r>
          </w:p>
        </w:tc>
        <w:tc>
          <w:tcPr>
            <w:tcW w:w="6146" w:type="dxa"/>
            <w:vAlign w:val="top"/>
          </w:tcPr>
          <w:p>
            <w:pPr>
              <w:rPr>
                <w:rFonts w:hint="eastAsia" w:ascii="楷体" w:hAnsi="楷体" w:eastAsia="楷体"/>
                <w:b/>
                <w:bCs/>
                <w:color w:val="auto"/>
                <w:u w:val="none"/>
              </w:rPr>
            </w:pPr>
            <w:r>
              <w:rPr>
                <w:rFonts w:hint="eastAsia" w:ascii="楷体" w:hAnsi="楷体" w:eastAsia="楷体"/>
                <w:b/>
                <w:bCs/>
                <w:color w:val="auto"/>
                <w:u w:val="none"/>
              </w:rPr>
              <w:t>固定收益类</w:t>
            </w:r>
          </w:p>
          <w:p>
            <w:pPr>
              <w:rPr>
                <w:rFonts w:hint="eastAsia" w:ascii="楷体" w:hAnsi="楷体" w:eastAsia="楷体"/>
                <w:b/>
                <w:bCs/>
                <w:color w:val="auto"/>
                <w:u w:val="none"/>
                <w:lang w:val="en-US" w:eastAsia="zh-CN"/>
              </w:rPr>
            </w:pPr>
            <w:r>
              <w:rPr>
                <w:rFonts w:hint="eastAsia" w:ascii="楷体" w:hAnsi="楷体" w:eastAsia="楷体"/>
              </w:rPr>
              <w:t>固定收益类理财产品</w:t>
            </w:r>
            <w:r>
              <w:rPr>
                <w:rFonts w:hint="eastAsia" w:ascii="楷体" w:hAnsi="楷体" w:eastAsia="楷体"/>
                <w:lang w:val="en-US" w:eastAsia="zh-CN"/>
              </w:rPr>
              <w:t>是</w:t>
            </w:r>
            <w:r>
              <w:rPr>
                <w:rFonts w:hint="eastAsia" w:ascii="楷体" w:hAnsi="楷体" w:eastAsia="楷体"/>
              </w:rPr>
              <w:t>指投资于存款、债券等债权类资产的比例不低于80%的理财产品。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76" w:type="dxa"/>
            <w:vAlign w:val="center"/>
          </w:tcPr>
          <w:p>
            <w:pPr>
              <w:rPr>
                <w:rFonts w:hint="eastAsia" w:ascii="楷体" w:hAnsi="楷体" w:eastAsia="楷体" w:cs="Times New Roman"/>
                <w:b/>
                <w:bCs/>
                <w:kern w:val="2"/>
                <w:sz w:val="21"/>
                <w:szCs w:val="22"/>
                <w:u w:val="none"/>
                <w:lang w:val="en-US" w:eastAsia="zh-CN" w:bidi="ar-SA"/>
              </w:rPr>
            </w:pPr>
            <w:r>
              <w:rPr>
                <w:rFonts w:hint="eastAsia" w:ascii="楷体" w:hAnsi="楷体" w:eastAsia="楷体"/>
                <w:b/>
                <w:bCs/>
                <w:u w:val="none"/>
                <w:lang w:val="en-US" w:eastAsia="zh-CN"/>
              </w:rPr>
              <w:t>产品</w:t>
            </w:r>
            <w:r>
              <w:rPr>
                <w:rFonts w:hint="eastAsia" w:ascii="楷体" w:hAnsi="楷体" w:eastAsia="楷体"/>
                <w:b/>
                <w:bCs/>
                <w:u w:val="none"/>
              </w:rPr>
              <w:t>收益类型</w:t>
            </w:r>
          </w:p>
        </w:tc>
        <w:tc>
          <w:tcPr>
            <w:tcW w:w="6146" w:type="dxa"/>
            <w:vAlign w:val="top"/>
          </w:tcPr>
          <w:p>
            <w:pPr>
              <w:rPr>
                <w:rFonts w:hint="eastAsia" w:ascii="楷体" w:hAnsi="楷体" w:eastAsia="楷体" w:cstheme="minorBidi"/>
                <w:b/>
                <w:bCs/>
                <w:color w:val="auto"/>
                <w:kern w:val="2"/>
                <w:sz w:val="21"/>
                <w:szCs w:val="22"/>
                <w:u w:val="none"/>
                <w:lang w:val="en-US" w:eastAsia="zh-CN" w:bidi="ar-SA"/>
              </w:rPr>
            </w:pPr>
            <w:r>
              <w:rPr>
                <w:rFonts w:hint="eastAsia" w:ascii="楷体" w:hAnsi="楷体" w:eastAsia="楷体"/>
                <w:b/>
                <w:bCs/>
                <w:color w:val="C00000"/>
                <w:u w:val="none"/>
              </w:rPr>
              <w:t>非保本浮动收益型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投资及收益币种</w:t>
            </w:r>
          </w:p>
        </w:tc>
        <w:tc>
          <w:tcPr>
            <w:tcW w:w="6146" w:type="dxa"/>
            <w:vAlign w:val="top"/>
          </w:tcPr>
          <w:p>
            <w:pPr>
              <w:rPr>
                <w:rFonts w:hint="eastAsia" w:ascii="楷体" w:hAnsi="楷体" w:eastAsia="楷体"/>
                <w:b/>
                <w:bCs/>
                <w:color w:val="auto"/>
                <w:u w:val="none"/>
                <w:lang w:eastAsia="zh-CN"/>
              </w:rPr>
            </w:pPr>
            <w:r>
              <w:rPr>
                <w:rFonts w:hint="eastAsia" w:ascii="楷体" w:hAnsi="楷体" w:eastAsia="楷体"/>
                <w:b w:val="0"/>
                <w:bCs w:val="0"/>
                <w:color w:val="auto"/>
                <w:u w:val="none"/>
              </w:rPr>
              <w:t>人民币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产品风险评级</w:t>
            </w:r>
          </w:p>
        </w:tc>
        <w:tc>
          <w:tcPr>
            <w:tcW w:w="6146" w:type="dxa"/>
            <w:vAlign w:val="top"/>
          </w:tcPr>
          <w:p>
            <w:pPr>
              <w:rPr>
                <w:rFonts w:hint="eastAsia" w:ascii="楷体" w:hAnsi="楷体" w:eastAsia="楷体"/>
                <w:b/>
                <w:bCs/>
                <w:u w:val="none"/>
              </w:rPr>
            </w:pPr>
            <w:r>
              <w:rPr>
                <w:rFonts w:hint="eastAsia" w:ascii="楷体" w:hAnsi="楷体" w:eastAsia="楷体"/>
                <w:b w:val="0"/>
                <w:bCs w:val="0"/>
                <w:u w:val="none"/>
              </w:rPr>
              <w:t>本产品管理人内部评级为</w:t>
            </w:r>
            <w:r>
              <w:rPr>
                <w:rFonts w:hint="eastAsia" w:ascii="楷体" w:hAnsi="楷体" w:eastAsia="楷体"/>
                <w:b/>
                <w:bCs/>
                <w:color w:val="C00000"/>
                <w:u w:val="none"/>
              </w:rPr>
              <w:t>中低风险（二级风险）</w:t>
            </w:r>
            <w:r>
              <w:rPr>
                <w:rFonts w:hint="eastAsia" w:ascii="楷体" w:hAnsi="楷体" w:eastAsia="楷体"/>
                <w:b w:val="0"/>
                <w:bCs w:val="0"/>
                <w:color w:val="auto"/>
                <w:u w:val="none"/>
                <w:lang w:eastAsia="zh-CN"/>
              </w:rPr>
              <w:t>。</w:t>
            </w:r>
            <w:r>
              <w:rPr>
                <w:rFonts w:hint="eastAsia" w:ascii="楷体" w:hAnsi="楷体" w:eastAsia="楷体"/>
                <w:b w:val="0"/>
                <w:bCs w:val="0"/>
                <w:u w:val="none"/>
                <w:lang w:val="en-US" w:eastAsia="zh-CN"/>
              </w:rPr>
              <w:t>产品</w:t>
            </w:r>
            <w:r>
              <w:rPr>
                <w:rFonts w:ascii="楷体" w:hAnsi="楷体" w:eastAsia="楷体"/>
                <w:b w:val="0"/>
                <w:bCs w:val="0"/>
                <w:u w:val="none"/>
              </w:rPr>
              <w:t>通过</w:t>
            </w:r>
            <w:r>
              <w:rPr>
                <w:rFonts w:hint="eastAsia" w:ascii="楷体" w:hAnsi="楷体" w:eastAsia="楷体"/>
                <w:b w:val="0"/>
                <w:bCs w:val="0"/>
                <w:u w:val="none"/>
              </w:rPr>
              <w:t>代理销售</w:t>
            </w:r>
            <w:r>
              <w:rPr>
                <w:rFonts w:ascii="楷体" w:hAnsi="楷体" w:eastAsia="楷体"/>
                <w:b w:val="0"/>
                <w:bCs w:val="0"/>
                <w:u w:val="none"/>
              </w:rPr>
              <w:t>机构销售的，</w:t>
            </w:r>
            <w:r>
              <w:rPr>
                <w:rFonts w:hint="eastAsia" w:ascii="楷体" w:hAnsi="楷体" w:eastAsia="楷体"/>
                <w:b w:val="0"/>
                <w:bCs w:val="0"/>
                <w:u w:val="none"/>
              </w:rPr>
              <w:t>代理销售</w:t>
            </w:r>
            <w:r>
              <w:rPr>
                <w:rFonts w:ascii="楷体" w:hAnsi="楷体" w:eastAsia="楷体"/>
                <w:b w:val="0"/>
                <w:bCs w:val="0"/>
                <w:u w:val="none"/>
              </w:rPr>
              <w:t>机构</w:t>
            </w:r>
            <w:r>
              <w:rPr>
                <w:rFonts w:hint="eastAsia" w:ascii="楷体" w:hAnsi="楷体" w:eastAsia="楷体"/>
                <w:b w:val="0"/>
                <w:bCs w:val="0"/>
                <w:u w:val="none"/>
              </w:rPr>
              <w:t>将</w:t>
            </w:r>
            <w:r>
              <w:rPr>
                <w:rFonts w:ascii="楷体" w:hAnsi="楷体" w:eastAsia="楷体"/>
                <w:b w:val="0"/>
                <w:bCs w:val="0"/>
                <w:u w:val="none"/>
              </w:rPr>
              <w:t>根据</w:t>
            </w:r>
            <w:r>
              <w:rPr>
                <w:rFonts w:hint="eastAsia" w:ascii="楷体" w:hAnsi="楷体" w:eastAsia="楷体"/>
                <w:b w:val="0"/>
                <w:bCs w:val="0"/>
                <w:u w:val="none"/>
              </w:rPr>
              <w:t>代理销售</w:t>
            </w:r>
            <w:r>
              <w:rPr>
                <w:rFonts w:ascii="楷体" w:hAnsi="楷体" w:eastAsia="楷体"/>
                <w:b w:val="0"/>
                <w:bCs w:val="0"/>
                <w:u w:val="none"/>
              </w:rPr>
              <w:t>机构的方式和方法，独立、审慎地对代理销售的本理财</w:t>
            </w:r>
            <w:r>
              <w:rPr>
                <w:rFonts w:hint="eastAsia" w:ascii="楷体" w:hAnsi="楷体" w:eastAsia="楷体"/>
                <w:b w:val="0"/>
                <w:bCs w:val="0"/>
                <w:u w:val="none"/>
              </w:rPr>
              <w:t>产品</w:t>
            </w:r>
            <w:r>
              <w:rPr>
                <w:rFonts w:ascii="楷体" w:hAnsi="楷体" w:eastAsia="楷体"/>
                <w:b w:val="0"/>
                <w:bCs w:val="0"/>
                <w:u w:val="none"/>
              </w:rPr>
              <w:t>进行销售评级，销售评级与管理人评级结果不一致的，</w:t>
            </w:r>
            <w:r>
              <w:rPr>
                <w:rFonts w:hint="eastAsia" w:ascii="楷体" w:hAnsi="楷体" w:eastAsia="楷体"/>
                <w:b w:val="0"/>
                <w:bCs w:val="0"/>
                <w:u w:val="none"/>
              </w:rPr>
              <w:t>代理销售机构将采用对应较高风险等级的评级结果并予以披露，本理财产品的</w:t>
            </w:r>
            <w:r>
              <w:rPr>
                <w:rFonts w:ascii="楷体" w:hAnsi="楷体" w:eastAsia="楷体"/>
                <w:b w:val="0"/>
                <w:bCs w:val="0"/>
                <w:u w:val="none"/>
              </w:rPr>
              <w:t>最终</w:t>
            </w:r>
            <w:r>
              <w:rPr>
                <w:rFonts w:hint="eastAsia" w:ascii="楷体" w:hAnsi="楷体" w:eastAsia="楷体"/>
                <w:b w:val="0"/>
                <w:bCs w:val="0"/>
                <w:u w:val="none"/>
              </w:rPr>
              <w:t>评级以代理销售机构最终披露的评级结果为准。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highlight w:val="none"/>
                <w:u w:val="none"/>
                <w:lang w:val="en-US" w:eastAsia="zh-CN"/>
              </w:rPr>
              <w:t>销售对象</w:t>
            </w:r>
          </w:p>
        </w:tc>
        <w:tc>
          <w:tcPr>
            <w:tcW w:w="6146" w:type="dxa"/>
            <w:vAlign w:val="top"/>
          </w:tcPr>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val="en-US" w:eastAsia="zh-CN"/>
              </w:rPr>
              <w:t>本产品适合以下类型投资者：</w:t>
            </w:r>
          </w:p>
          <w:p>
            <w:pPr>
              <w:rPr>
                <w:rFonts w:hint="eastAsia" w:ascii="楷体" w:hAnsi="楷体" w:eastAsia="楷体" w:cs="Times New Roman"/>
                <w:b w:val="0"/>
                <w:bCs w:val="0"/>
                <w:color w:val="auto"/>
                <w:u w:val="none"/>
                <w:lang w:val="en-US" w:eastAsia="zh-CN"/>
              </w:rPr>
            </w:pPr>
            <w:bookmarkStart w:id="5" w:name="特殊字符7"/>
            <w:r>
              <w:rPr>
                <w:rFonts w:hint="eastAsia" w:ascii="Wingdings 2" w:hAnsi="Wingdings 2" w:eastAsia="Wingdings 2" w:cs="Wingdings 2"/>
                <w:b w:val="0"/>
                <w:bCs w:val="0"/>
                <w:color w:val="auto"/>
                <w:u w:val="none"/>
                <w:lang w:val="en-US" w:eastAsia="zh-CN"/>
              </w:rPr>
              <w:t>R</w:t>
            </w:r>
            <w:bookmarkEnd w:id="5"/>
            <w:r>
              <w:rPr>
                <w:rFonts w:hint="eastAsia" w:ascii="楷体" w:hAnsi="楷体" w:eastAsia="楷体" w:cs="Times New Roman"/>
                <w:b w:val="0"/>
                <w:bCs w:val="0"/>
                <w:color w:val="auto"/>
                <w:u w:val="none"/>
                <w:lang w:val="en-US" w:eastAsia="zh-CN"/>
              </w:rPr>
              <w:t>【个人投资者】</w:t>
            </w:r>
            <w:r>
              <w:rPr>
                <w:rFonts w:hint="eastAsia" w:ascii="楷体" w:hAnsi="楷体" w:eastAsia="楷体"/>
                <w:b w:val="0"/>
                <w:bCs w:val="0"/>
                <w:color w:val="auto"/>
                <w:u w:val="none"/>
                <w:lang w:eastAsia="zh-CN"/>
              </w:rPr>
              <w:t>【（客户风险承受能力评级为稳健型,平衡型,成长型,进取型）】</w:t>
            </w:r>
          </w:p>
          <w:p>
            <w:pPr>
              <w:rPr>
                <w:rFonts w:hint="default" w:ascii="楷体" w:hAnsi="楷体" w:eastAsia="楷体"/>
                <w:b w:val="0"/>
                <w:bCs w:val="0"/>
                <w:color w:val="auto"/>
                <w:u w:val="none"/>
                <w:lang w:val="en-US" w:eastAsia="zh-CN"/>
              </w:rPr>
            </w:pPr>
            <w:bookmarkStart w:id="6" w:name="特殊字符8"/>
            <w:r>
              <w:rPr>
                <w:rFonts w:hint="eastAsia" w:ascii="Wingdings 2" w:hAnsi="Wingdings 2" w:eastAsia="Wingdings 2" w:cs="Wingdings 2"/>
                <w:b w:val="0"/>
                <w:bCs w:val="0"/>
                <w:color w:val="auto"/>
                <w:u w:val="none"/>
                <w:lang w:val="en-US" w:eastAsia="zh-CN"/>
              </w:rPr>
              <w:t>R</w:t>
            </w:r>
            <w:bookmarkEnd w:id="6"/>
            <w:r>
              <w:rPr>
                <w:rFonts w:hint="eastAsia" w:ascii="楷体" w:hAnsi="楷体" w:eastAsia="楷体" w:cs="Times New Roman"/>
                <w:b w:val="0"/>
                <w:bCs w:val="0"/>
                <w:color w:val="auto"/>
                <w:u w:val="none"/>
                <w:lang w:val="en-US" w:eastAsia="zh-CN"/>
              </w:rPr>
              <w:t>【机构投资者】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default" w:ascii="楷体" w:hAnsi="楷体" w:eastAsia="楷体"/>
                <w:b/>
                <w:bCs/>
                <w:u w:val="none"/>
                <w:lang w:val="en-US" w:eastAsia="zh-CN"/>
              </w:rPr>
            </w:pPr>
            <w:r>
              <w:rPr>
                <w:rFonts w:hint="eastAsia" w:ascii="楷体" w:hAnsi="楷体" w:eastAsia="楷体"/>
                <w:b/>
                <w:bCs/>
                <w:u w:val="none"/>
                <w:lang w:val="en-US" w:eastAsia="zh-CN"/>
              </w:rPr>
              <w:t>销售场景</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u w:val="none"/>
                <w:lang w:val="en-US" w:eastAsia="zh-CN"/>
              </w:rPr>
              <w:t>本产品可在销售机构线上渠道或线下渠道等场景进行销售。</w:t>
            </w:r>
          </w:p>
          <w:p>
            <w:pPr>
              <w:rPr>
                <w:rFonts w:hint="eastAsia" w:ascii="楷体" w:hAnsi="楷体" w:eastAsia="楷体"/>
                <w:b w:val="0"/>
                <w:bCs w:val="0"/>
                <w:color w:val="auto"/>
                <w:u w:val="none"/>
              </w:rPr>
            </w:pPr>
            <w:r>
              <w:rPr>
                <w:rFonts w:hint="eastAsia" w:ascii="楷体" w:hAnsi="楷体" w:eastAsia="楷体"/>
                <w:b/>
                <w:bCs/>
                <w:color w:val="auto"/>
                <w:u w:val="none"/>
                <w:lang w:val="en-US" w:eastAsia="zh-CN"/>
              </w:rPr>
              <w:t>特别提示：</w:t>
            </w:r>
            <w:r>
              <w:rPr>
                <w:rFonts w:hint="eastAsia" w:ascii="楷体" w:hAnsi="楷体" w:eastAsia="楷体"/>
                <w:b w:val="0"/>
                <w:bCs w:val="0"/>
                <w:color w:val="auto"/>
                <w:u w:val="none"/>
                <w:lang w:val="en-US" w:eastAsia="zh-CN"/>
              </w:rPr>
              <w:t>当销售机构销售产品风险评级为R4及以上的理财产品时，可在销售机构的营业网点进行，也可依据销售机构的政策在营业网点之外的其他场景进行（具体政策以销售机构公布执行的为准）。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76" w:type="dxa"/>
            <w:vAlign w:val="center"/>
          </w:tcPr>
          <w:p>
            <w:pPr>
              <w:rPr>
                <w:rFonts w:hint="eastAsia" w:ascii="楷体" w:hAnsi="楷体" w:eastAsia="楷体" w:cs="楷体"/>
                <w:b/>
                <w:bCs/>
                <w:u w:val="none"/>
                <w:lang w:val="en-US" w:eastAsia="zh-CN"/>
              </w:rPr>
            </w:pPr>
            <w:r>
              <w:rPr>
                <w:rFonts w:hint="eastAsia" w:ascii="楷体" w:hAnsi="楷体" w:eastAsia="楷体" w:cs="楷体"/>
                <w:b/>
                <w:bCs/>
                <w:u w:val="none"/>
                <w:lang w:val="en-US" w:eastAsia="zh-CN"/>
              </w:rPr>
              <w:t>销售机构</w:t>
            </w:r>
          </w:p>
        </w:tc>
        <w:tc>
          <w:tcPr>
            <w:tcW w:w="6146" w:type="dxa"/>
            <w:vAlign w:val="top"/>
          </w:tcPr>
          <w:p>
            <w:pPr>
              <w:rPr>
                <w:rFonts w:hint="eastAsia" w:ascii="楷体" w:hAnsi="楷体" w:eastAsia="楷体" w:cs="楷体"/>
                <w:b w:val="0"/>
                <w:bCs w:val="0"/>
                <w:color w:val="auto"/>
                <w:u w:val="none"/>
                <w:lang w:val="en-US" w:eastAsia="zh-CN"/>
              </w:rPr>
            </w:pPr>
            <w:bookmarkStart w:id="7" w:name="特殊字符3"/>
            <w:r>
              <w:rPr>
                <w:rFonts w:hint="eastAsia" w:ascii="Wingdings 2" w:hAnsi="Wingdings 2" w:eastAsia="Wingdings 2" w:cs="Wingdings 2"/>
                <w:b w:val="0"/>
                <w:bCs w:val="0"/>
                <w:color w:val="auto"/>
                <w:u w:val="none"/>
                <w:lang w:val="en-US" w:eastAsia="zh-CN"/>
              </w:rPr>
              <w:t>£</w:t>
            </w:r>
            <w:bookmarkEnd w:id="7"/>
            <w:r>
              <w:rPr>
                <w:rFonts w:hint="eastAsia" w:ascii="楷体" w:hAnsi="楷体" w:eastAsia="楷体" w:cs="楷体"/>
                <w:b w:val="0"/>
                <w:bCs w:val="0"/>
                <w:color w:val="auto"/>
                <w:u w:val="none"/>
                <w:lang w:val="en-US" w:eastAsia="zh-CN"/>
              </w:rPr>
              <w:t>【直销适用】</w:t>
            </w:r>
          </w:p>
          <w:p>
            <w:pPr>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本产品由产品管理人销售。</w:t>
            </w:r>
          </w:p>
          <w:p>
            <w:pPr>
              <w:rPr>
                <w:rFonts w:hint="eastAsia" w:ascii="楷体" w:hAnsi="楷体" w:eastAsia="楷体" w:cs="楷体"/>
                <w:b w:val="0"/>
                <w:bCs w:val="0"/>
                <w:color w:val="auto"/>
                <w:u w:val="none"/>
                <w:lang w:val="en-US" w:eastAsia="zh-CN"/>
              </w:rPr>
            </w:pPr>
            <w:bookmarkStart w:id="8" w:name="特殊字符4"/>
            <w:r>
              <w:rPr>
                <w:rFonts w:hint="eastAsia" w:ascii="Wingdings 2" w:hAnsi="Wingdings 2" w:eastAsia="Wingdings 2" w:cs="Wingdings 2"/>
                <w:b w:val="0"/>
                <w:bCs w:val="0"/>
                <w:color w:val="auto"/>
                <w:u w:val="none"/>
                <w:lang w:val="en-US" w:eastAsia="zh-CN"/>
              </w:rPr>
              <w:t>R</w:t>
            </w:r>
            <w:bookmarkEnd w:id="8"/>
            <w:r>
              <w:rPr>
                <w:rFonts w:hint="eastAsia" w:ascii="楷体" w:hAnsi="楷体" w:eastAsia="楷体" w:cs="楷体"/>
                <w:b w:val="0"/>
                <w:bCs w:val="0"/>
                <w:color w:val="auto"/>
                <w:u w:val="none"/>
                <w:lang w:val="en-US" w:eastAsia="zh-CN"/>
              </w:rPr>
              <w:t>【代销适用】</w:t>
            </w:r>
          </w:p>
          <w:p>
            <w:pPr>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本产品由代理销售机构销售。</w:t>
            </w:r>
          </w:p>
          <w:p>
            <w:pPr>
              <w:rPr>
                <w:rFonts w:hint="eastAsia" w:ascii="楷体" w:hAnsi="楷体" w:eastAsia="楷体" w:cs="楷体"/>
                <w:b/>
                <w:bCs/>
                <w:color w:val="auto"/>
                <w:u w:val="none"/>
              </w:rPr>
            </w:pPr>
            <w:r>
              <w:rPr>
                <w:rFonts w:hint="eastAsia" w:ascii="楷体" w:hAnsi="楷体" w:eastAsia="楷体" w:cs="楷体"/>
                <w:b w:val="0"/>
                <w:bCs w:val="0"/>
                <w:color w:val="auto"/>
                <w:u w:val="none"/>
                <w:lang w:val="en-US" w:eastAsia="zh-CN"/>
              </w:rPr>
              <w:t>代理销售机构合作业务情况以产品管理人公告为准，具体代理销售机构以《</w:t>
            </w:r>
            <w:r>
              <w:rPr>
                <w:rFonts w:hint="eastAsia" w:ascii="楷体" w:hAnsi="楷体" w:eastAsia="楷体" w:cs="楷体"/>
                <w:b w:val="0"/>
                <w:bCs w:val="0"/>
                <w:color w:val="auto"/>
                <w:szCs w:val="21"/>
                <w:u w:val="none"/>
              </w:rPr>
              <w:t>销售（代理销售）协议书</w:t>
            </w:r>
            <w:r>
              <w:rPr>
                <w:rFonts w:hint="eastAsia" w:ascii="楷体" w:hAnsi="楷体" w:eastAsia="楷体" w:cs="楷体"/>
                <w:b w:val="0"/>
                <w:bCs w:val="0"/>
                <w:color w:val="auto"/>
                <w:u w:val="none"/>
                <w:lang w:val="en-US" w:eastAsia="zh-CN"/>
              </w:rPr>
              <w:t>》为准。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lang w:val="en-US" w:eastAsia="zh-CN"/>
              </w:rPr>
            </w:pPr>
            <w:r>
              <w:rPr>
                <w:rFonts w:hint="eastAsia" w:ascii="楷体" w:hAnsi="楷体" w:eastAsia="楷体"/>
                <w:b/>
                <w:bCs/>
                <w:u w:val="none"/>
                <w:lang w:val="en-US" w:eastAsia="zh-CN"/>
              </w:rPr>
              <w:t>发售对象</w:t>
            </w:r>
          </w:p>
        </w:tc>
        <w:tc>
          <w:tcPr>
            <w:tcW w:w="6146" w:type="dxa"/>
            <w:vAlign w:val="top"/>
          </w:tcPr>
          <w:p>
            <w:pPr>
              <w:numPr>
                <w:ilvl w:val="12"/>
                <w:numId w:val="0"/>
              </w:numPr>
              <w:ind w:left="0" w:leftChars="0" w:firstLine="0" w:firstLineChars="0"/>
              <w:rPr>
                <w:rFonts w:hint="eastAsia" w:ascii="楷体" w:hAnsi="楷体" w:eastAsia="楷体"/>
                <w:b w:val="0"/>
                <w:bCs w:val="0"/>
                <w:u w:val="none"/>
                <w:lang w:val="en-US" w:eastAsia="zh-CN"/>
              </w:rPr>
            </w:pPr>
            <w:r>
              <w:rPr>
                <w:rFonts w:hint="eastAsia" w:ascii="楷体" w:hAnsi="楷体" w:eastAsia="楷体"/>
                <w:b w:val="0"/>
                <w:bCs w:val="0"/>
                <w:color w:val="auto"/>
                <w:highlight w:val="none"/>
                <w:u w:val="none"/>
                <w:lang w:val="en-US" w:eastAsia="zh-CN"/>
              </w:rPr>
              <w:t>【B】类份额：【个人客户、机构客户】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lang w:val="en-US" w:eastAsia="zh-CN"/>
              </w:rPr>
            </w:pPr>
            <w:r>
              <w:rPr>
                <w:rFonts w:hint="eastAsia" w:ascii="楷体" w:hAnsi="楷体" w:eastAsia="楷体"/>
                <w:b/>
                <w:bCs/>
                <w:u w:val="none"/>
              </w:rPr>
              <w:t>发行规模</w:t>
            </w:r>
            <w:r>
              <w:rPr>
                <w:rFonts w:hint="eastAsia" w:ascii="楷体" w:hAnsi="楷体" w:eastAsia="楷体"/>
                <w:b/>
                <w:bCs/>
                <w:u w:val="none"/>
                <w:lang w:val="en-US" w:eastAsia="zh-CN"/>
              </w:rPr>
              <w:t>上限</w:t>
            </w:r>
          </w:p>
        </w:tc>
        <w:tc>
          <w:tcPr>
            <w:tcW w:w="6146" w:type="dxa"/>
            <w:vAlign w:val="top"/>
          </w:tcPr>
          <w:p>
            <w:pPr>
              <w:numPr>
                <w:ilvl w:val="12"/>
                <w:numId w:val="0"/>
              </w:numPr>
              <w:ind w:left="0" w:firstLine="0"/>
              <w:rPr>
                <w:rFonts w:hint="eastAsia" w:ascii="楷体" w:hAnsi="楷体" w:eastAsia="楷体"/>
                <w:b w:val="0"/>
                <w:bCs w:val="0"/>
                <w:color w:val="auto"/>
                <w:u w:val="none"/>
                <w:lang w:val="en-US" w:eastAsia="zh-CN"/>
              </w:rPr>
            </w:pPr>
            <w:r>
              <w:rPr>
                <w:rFonts w:hint="eastAsia" w:ascii="楷体" w:hAnsi="楷体" w:eastAsia="楷体"/>
                <w:b w:val="0"/>
                <w:bCs w:val="0"/>
                <w:color w:val="auto"/>
                <w:u w:val="none"/>
                <w:lang w:val="en-US" w:eastAsia="zh-CN"/>
              </w:rPr>
              <w:t>发行规模上限【200.00亿元】。</w:t>
            </w:r>
          </w:p>
          <w:p>
            <w:pPr>
              <w:numPr>
                <w:ilvl w:val="12"/>
                <w:numId w:val="0"/>
              </w:numPr>
              <w:ind w:left="0" w:leftChars="0" w:firstLine="0" w:firstLineChars="0"/>
              <w:rPr>
                <w:rFonts w:hint="eastAsia" w:ascii="楷体" w:hAnsi="楷体" w:eastAsia="楷体"/>
                <w:b w:val="0"/>
                <w:bCs w:val="0"/>
                <w:color w:val="auto"/>
                <w:u w:val="none"/>
              </w:rPr>
            </w:pPr>
            <w:r>
              <w:rPr>
                <w:rFonts w:hint="eastAsia" w:ascii="楷体" w:hAnsi="楷体" w:eastAsia="楷体"/>
                <w:b w:val="0"/>
                <w:bCs w:val="0"/>
                <w:color w:val="auto"/>
                <w:u w:val="none"/>
              </w:rPr>
              <w:t>若产品募集金额超出规模上限，管理人有权暂停接受认购或申购申请。管理人有权对本理财产品规模上限进行调整。</w:t>
            </w:r>
          </w:p>
          <w:p>
            <w:pPr>
              <w:numPr>
                <w:ilvl w:val="12"/>
                <w:numId w:val="0"/>
              </w:numPr>
              <w:ind w:left="0" w:leftChars="0" w:firstLine="0" w:firstLineChars="0"/>
              <w:rPr>
                <w:rFonts w:hint="eastAsia" w:ascii="楷体" w:hAnsi="楷体" w:eastAsia="楷体"/>
                <w:b w:val="0"/>
                <w:bCs w:val="0"/>
                <w:color w:val="auto"/>
                <w:u w:val="none"/>
                <w:lang w:val="en-US" w:eastAsia="zh-CN"/>
              </w:rPr>
            </w:pPr>
            <w:r>
              <w:rPr>
                <w:rFonts w:hint="eastAsia" w:ascii="楷体" w:hAnsi="楷体" w:eastAsia="楷体"/>
                <w:b/>
                <w:bCs/>
              </w:rPr>
              <w:t>销售机构实际销售规模限制可能与《产品说明书》不一致，具体以销售机构规则为准。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lang w:val="en-US" w:eastAsia="zh-CN"/>
              </w:rPr>
              <w:t>最低发行规模</w:t>
            </w:r>
          </w:p>
        </w:tc>
        <w:tc>
          <w:tcPr>
            <w:tcW w:w="6146" w:type="dxa"/>
            <w:vAlign w:val="top"/>
          </w:tcPr>
          <w:p>
            <w:pPr>
              <w:numPr>
                <w:ilvl w:val="12"/>
                <w:numId w:val="0"/>
              </w:numPr>
              <w:ind w:left="0" w:leftChars="0" w:firstLine="0" w:firstLineChars="0"/>
              <w:rPr>
                <w:rFonts w:hint="eastAsia" w:ascii="楷体" w:hAnsi="楷体" w:eastAsia="楷体"/>
                <w:b w:val="0"/>
                <w:bCs w:val="0"/>
                <w:color w:val="auto"/>
                <w:u w:val="none"/>
              </w:rPr>
            </w:pPr>
            <w:r>
              <w:rPr>
                <w:rFonts w:hint="eastAsia" w:ascii="楷体" w:hAnsi="楷体" w:eastAsia="楷体"/>
                <w:b w:val="0"/>
                <w:bCs w:val="0"/>
                <w:color w:val="auto"/>
                <w:u w:val="none"/>
              </w:rPr>
              <w:t>本理财产品最低发行规模为</w:t>
            </w:r>
            <w:r>
              <w:rPr>
                <w:rFonts w:hint="eastAsia" w:ascii="楷体" w:hAnsi="楷体" w:eastAsia="楷体"/>
                <w:b w:val="0"/>
                <w:bCs w:val="0"/>
                <w:color w:val="auto"/>
                <w:u w:val="none"/>
                <w:lang w:eastAsia="zh-CN"/>
              </w:rPr>
              <w:t>【100.00元】</w:t>
            </w:r>
            <w:r>
              <w:rPr>
                <w:rFonts w:hint="eastAsia" w:ascii="楷体" w:hAnsi="楷体" w:eastAsia="楷体"/>
                <w:b w:val="0"/>
                <w:bCs w:val="0"/>
                <w:color w:val="auto"/>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color w:val="auto"/>
                <w:u w:val="none"/>
              </w:rPr>
            </w:pPr>
            <w:r>
              <w:rPr>
                <w:rFonts w:hint="eastAsia" w:ascii="楷体" w:hAnsi="楷体" w:eastAsia="楷体"/>
                <w:b/>
                <w:bCs/>
                <w:color w:val="auto"/>
                <w:highlight w:val="none"/>
                <w:u w:val="none"/>
                <w:lang w:val="en-US" w:eastAsia="zh-CN"/>
              </w:rPr>
              <w:t>产品期限</w:t>
            </w:r>
          </w:p>
        </w:tc>
        <w:tc>
          <w:tcPr>
            <w:tcW w:w="6146" w:type="dxa"/>
            <w:vAlign w:val="top"/>
          </w:tcPr>
          <w:p>
            <w:pPr>
              <w:rPr>
                <w:rFonts w:hint="default" w:ascii="楷体" w:hAnsi="楷体" w:eastAsia="楷体"/>
                <w:b w:val="0"/>
                <w:bCs w:val="0"/>
                <w:color w:val="auto"/>
                <w:highlight w:val="none"/>
                <w:u w:val="none"/>
                <w:lang w:val="en-US" w:eastAsia="zh-CN"/>
              </w:rPr>
            </w:pPr>
            <w:bookmarkStart w:id="9" w:name="特殊字符5"/>
            <w:r>
              <w:rPr>
                <w:rFonts w:hint="eastAsia" w:ascii="Wingdings 2" w:hAnsi="Wingdings 2" w:eastAsia="Wingdings 2" w:cs="Wingdings 2"/>
                <w:b w:val="0"/>
                <w:bCs w:val="0"/>
                <w:color w:val="auto"/>
                <w:u w:val="none"/>
                <w:lang w:val="en-US" w:eastAsia="zh-CN"/>
              </w:rPr>
              <w:t>R</w:t>
            </w:r>
            <w:bookmarkEnd w:id="9"/>
            <w:r>
              <w:rPr>
                <w:rFonts w:hint="eastAsia" w:ascii="楷体" w:hAnsi="楷体" w:eastAsia="楷体"/>
                <w:b w:val="0"/>
                <w:bCs w:val="0"/>
                <w:color w:val="auto"/>
                <w:u w:val="none"/>
                <w:lang w:val="en-US" w:eastAsia="zh-CN"/>
              </w:rPr>
              <w:t>【有固定期限】【30.1年】</w:t>
            </w:r>
          </w:p>
          <w:p>
            <w:pPr>
              <w:rPr>
                <w:rFonts w:hint="default" w:ascii="楷体" w:hAnsi="楷体" w:eastAsia="楷体"/>
                <w:b w:val="0"/>
                <w:bCs w:val="0"/>
                <w:color w:val="auto"/>
                <w:u w:val="none"/>
                <w:lang w:val="en-US"/>
              </w:rPr>
            </w:pPr>
            <w:bookmarkStart w:id="10" w:name="特殊字符6"/>
            <w:r>
              <w:rPr>
                <w:rFonts w:hint="eastAsia" w:ascii="Wingdings 2" w:hAnsi="Wingdings 2" w:eastAsia="Wingdings 2" w:cs="Wingdings 2"/>
                <w:b w:val="0"/>
                <w:bCs w:val="0"/>
                <w:color w:val="auto"/>
                <w:u w:val="none"/>
                <w:lang w:eastAsia="zh-CN"/>
              </w:rPr>
              <w:t>£</w:t>
            </w:r>
            <w:bookmarkEnd w:id="10"/>
            <w:r>
              <w:rPr>
                <w:rFonts w:hint="eastAsia" w:ascii="楷体" w:hAnsi="楷体" w:eastAsia="楷体"/>
                <w:b w:val="0"/>
                <w:bCs w:val="0"/>
                <w:color w:val="auto"/>
                <w:u w:val="none"/>
                <w:lang w:eastAsia="zh-CN"/>
              </w:rPr>
              <w:t>【无固定期限】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color w:val="FF0000"/>
                <w:highlight w:val="none"/>
                <w:u w:val="none"/>
                <w:lang w:val="en-US" w:eastAsia="zh-CN"/>
              </w:rPr>
            </w:pPr>
            <w:r>
              <w:rPr>
                <w:rFonts w:hint="eastAsia" w:ascii="楷体" w:hAnsi="楷体" w:eastAsia="楷体"/>
                <w:b/>
                <w:bCs/>
                <w:u w:val="none"/>
              </w:rPr>
              <w:t>产品认购期</w:t>
            </w:r>
          </w:p>
        </w:tc>
        <w:tc>
          <w:tcPr>
            <w:tcW w:w="6146" w:type="dxa"/>
            <w:vAlign w:val="top"/>
          </w:tcPr>
          <w:p>
            <w:pPr>
              <w:rPr>
                <w:rFonts w:hint="eastAsia" w:ascii="楷体" w:hAnsi="楷体" w:eastAsia="楷体"/>
                <w:b w:val="0"/>
                <w:bCs w:val="0"/>
                <w:color w:val="auto"/>
                <w:highlight w:val="none"/>
                <w:u w:val="none"/>
                <w:lang w:val="en-US" w:eastAsia="zh-CN"/>
              </w:rPr>
            </w:pPr>
            <w:r>
              <w:rPr>
                <w:rFonts w:hint="eastAsia" w:ascii="楷体" w:hAnsi="楷体" w:eastAsia="楷体"/>
                <w:b w:val="0"/>
                <w:bCs w:val="0"/>
                <w:color w:val="auto"/>
                <w:u w:val="none"/>
                <w:lang w:eastAsia="zh-CN"/>
              </w:rPr>
              <w:t>【2026】</w:t>
            </w:r>
            <w:r>
              <w:rPr>
                <w:rFonts w:ascii="楷体" w:hAnsi="楷体" w:eastAsia="楷体"/>
                <w:b w:val="0"/>
                <w:bCs w:val="0"/>
                <w:color w:val="auto"/>
                <w:u w:val="none"/>
              </w:rPr>
              <w:t>年</w:t>
            </w:r>
            <w:r>
              <w:rPr>
                <w:rFonts w:hint="eastAsia" w:ascii="楷体" w:hAnsi="楷体" w:eastAsia="楷体"/>
                <w:b w:val="0"/>
                <w:bCs w:val="0"/>
                <w:color w:val="auto"/>
                <w:u w:val="none"/>
                <w:lang w:eastAsia="zh-CN"/>
              </w:rPr>
              <w:t>【08】</w:t>
            </w:r>
            <w:r>
              <w:rPr>
                <w:rFonts w:ascii="楷体" w:hAnsi="楷体" w:eastAsia="楷体"/>
                <w:b w:val="0"/>
                <w:bCs w:val="0"/>
                <w:color w:val="auto"/>
                <w:u w:val="none"/>
              </w:rPr>
              <w:t>月</w:t>
            </w:r>
            <w:r>
              <w:rPr>
                <w:rFonts w:hint="eastAsia" w:ascii="楷体" w:hAnsi="楷体" w:eastAsia="楷体"/>
                <w:b w:val="0"/>
                <w:bCs w:val="0"/>
                <w:color w:val="auto"/>
                <w:u w:val="none"/>
                <w:lang w:eastAsia="zh-CN"/>
              </w:rPr>
              <w:t>【11】</w:t>
            </w:r>
            <w:r>
              <w:rPr>
                <w:rFonts w:hint="eastAsia" w:ascii="楷体" w:hAnsi="楷体" w:eastAsia="楷体"/>
                <w:b w:val="0"/>
                <w:bCs w:val="0"/>
                <w:color w:val="auto"/>
                <w:u w:val="none"/>
              </w:rPr>
              <w:t>日</w:t>
            </w:r>
            <w:r>
              <w:rPr>
                <w:rFonts w:hint="eastAsia" w:ascii="楷体" w:hAnsi="楷体" w:eastAsia="楷体"/>
                <w:b w:val="0"/>
                <w:bCs w:val="0"/>
                <w:color w:val="auto"/>
                <w:u w:val="none"/>
                <w:lang w:eastAsia="zh-CN"/>
              </w:rPr>
              <w:t>【08:00】</w:t>
            </w:r>
            <w:r>
              <w:rPr>
                <w:rFonts w:hint="eastAsia" w:ascii="楷体" w:hAnsi="楷体" w:eastAsia="楷体"/>
                <w:b w:val="0"/>
                <w:bCs w:val="0"/>
                <w:color w:val="auto"/>
                <w:u w:val="none"/>
              </w:rPr>
              <w:t>至</w:t>
            </w:r>
            <w:r>
              <w:rPr>
                <w:rFonts w:hint="eastAsia" w:ascii="楷体" w:hAnsi="楷体" w:eastAsia="楷体"/>
                <w:b w:val="0"/>
                <w:bCs w:val="0"/>
                <w:color w:val="auto"/>
                <w:u w:val="none"/>
                <w:lang w:eastAsia="zh-CN"/>
              </w:rPr>
              <w:t>【2026】</w:t>
            </w:r>
            <w:r>
              <w:rPr>
                <w:rFonts w:hint="eastAsia" w:ascii="楷体" w:hAnsi="楷体" w:eastAsia="楷体"/>
                <w:b w:val="0"/>
                <w:bCs w:val="0"/>
                <w:color w:val="auto"/>
                <w:u w:val="none"/>
              </w:rPr>
              <w:t>年</w:t>
            </w:r>
            <w:r>
              <w:rPr>
                <w:rFonts w:hint="eastAsia" w:ascii="楷体" w:hAnsi="楷体" w:eastAsia="楷体"/>
                <w:b w:val="0"/>
                <w:bCs w:val="0"/>
                <w:color w:val="auto"/>
                <w:u w:val="none"/>
                <w:lang w:eastAsia="zh-CN"/>
              </w:rPr>
              <w:t>【08】</w:t>
            </w:r>
            <w:r>
              <w:rPr>
                <w:rFonts w:hint="eastAsia" w:ascii="楷体" w:hAnsi="楷体" w:eastAsia="楷体"/>
                <w:b w:val="0"/>
                <w:bCs w:val="0"/>
                <w:color w:val="auto"/>
                <w:u w:val="none"/>
              </w:rPr>
              <w:t>月</w:t>
            </w:r>
            <w:r>
              <w:rPr>
                <w:rFonts w:hint="eastAsia" w:ascii="楷体" w:hAnsi="楷体" w:eastAsia="楷体"/>
                <w:b w:val="0"/>
                <w:bCs w:val="0"/>
                <w:color w:val="auto"/>
                <w:u w:val="none"/>
                <w:lang w:eastAsia="zh-CN"/>
              </w:rPr>
              <w:t>【11】</w:t>
            </w:r>
            <w:r>
              <w:rPr>
                <w:rFonts w:hint="eastAsia" w:ascii="楷体" w:hAnsi="楷体" w:eastAsia="楷体"/>
                <w:b w:val="0"/>
                <w:bCs w:val="0"/>
                <w:color w:val="auto"/>
                <w:u w:val="none"/>
              </w:rPr>
              <w:t>日</w:t>
            </w:r>
            <w:r>
              <w:rPr>
                <w:rFonts w:hint="eastAsia" w:ascii="楷体" w:hAnsi="楷体" w:eastAsia="楷体"/>
                <w:b w:val="0"/>
                <w:bCs w:val="0"/>
                <w:color w:val="auto"/>
                <w:u w:val="none"/>
                <w:lang w:eastAsia="zh-CN"/>
              </w:rPr>
              <w:t>【16:00】。</w:t>
            </w:r>
            <w:r>
              <w:rPr>
                <w:rFonts w:hint="eastAsia" w:ascii="楷体" w:hAnsi="楷体" w:eastAsia="楷体"/>
                <w:b/>
                <w:bCs/>
                <w:color w:val="auto"/>
                <w:u w:val="none"/>
              </w:rPr>
              <w:t>销售机构实际受理时间可能与</w:t>
            </w:r>
            <w:r>
              <w:rPr>
                <w:rFonts w:hint="eastAsia" w:ascii="楷体" w:hAnsi="楷体" w:eastAsia="楷体"/>
                <w:b/>
                <w:bCs/>
                <w:color w:val="auto"/>
                <w:u w:val="none"/>
                <w:lang w:eastAsia="zh-CN"/>
              </w:rPr>
              <w:t>《</w:t>
            </w:r>
            <w:r>
              <w:rPr>
                <w:rFonts w:hint="eastAsia" w:ascii="楷体" w:hAnsi="楷体" w:eastAsia="楷体"/>
                <w:b/>
                <w:bCs/>
                <w:color w:val="auto"/>
                <w:u w:val="none"/>
              </w:rPr>
              <w:t>产品说明书</w:t>
            </w:r>
            <w:r>
              <w:rPr>
                <w:rFonts w:hint="eastAsia" w:ascii="楷体" w:hAnsi="楷体" w:eastAsia="楷体"/>
                <w:b/>
                <w:bCs/>
                <w:color w:val="auto"/>
                <w:u w:val="none"/>
                <w:lang w:eastAsia="zh-CN"/>
              </w:rPr>
              <w:t>》</w:t>
            </w:r>
            <w:r>
              <w:rPr>
                <w:rFonts w:hint="eastAsia" w:ascii="楷体" w:hAnsi="楷体" w:eastAsia="楷体"/>
                <w:b/>
                <w:bCs/>
                <w:color w:val="auto"/>
                <w:u w:val="none"/>
              </w:rPr>
              <w:t>不一致，具体以销售机构</w:t>
            </w:r>
            <w:r>
              <w:rPr>
                <w:rFonts w:hint="eastAsia" w:ascii="楷体" w:hAnsi="楷体" w:eastAsia="楷体"/>
                <w:b/>
                <w:bCs/>
                <w:color w:val="auto"/>
                <w:u w:val="none"/>
                <w:lang w:val="en-US" w:eastAsia="zh-CN"/>
              </w:rPr>
              <w:t>规则</w:t>
            </w:r>
            <w:r>
              <w:rPr>
                <w:rFonts w:hint="eastAsia" w:ascii="楷体" w:hAnsi="楷体" w:eastAsia="楷体"/>
                <w:b/>
                <w:bCs/>
                <w:color w:val="auto"/>
                <w:u w:val="none"/>
              </w:rPr>
              <w:t>为准。</w:t>
            </w:r>
            <w:r>
              <w:rPr>
                <w:rFonts w:hint="eastAsia" w:ascii="楷体" w:hAnsi="楷体" w:eastAsia="楷体"/>
                <w:b w:val="0"/>
                <w:bCs w:val="0"/>
                <w:color w:val="auto"/>
                <w:u w:val="none"/>
              </w:rPr>
              <w:t>管理人可在认购期内公告延长或提前终止产品认购期，实际认购期以管理人公告为准。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lang w:val="en-US" w:eastAsia="zh-CN"/>
              </w:rPr>
            </w:pPr>
            <w:r>
              <w:rPr>
                <w:rFonts w:hint="eastAsia" w:ascii="楷体" w:hAnsi="楷体" w:eastAsia="楷体"/>
                <w:b/>
                <w:bCs/>
                <w:u w:val="none"/>
              </w:rPr>
              <w:t>产品成立日</w:t>
            </w:r>
          </w:p>
        </w:tc>
        <w:tc>
          <w:tcPr>
            <w:tcW w:w="6146" w:type="dxa"/>
            <w:vAlign w:val="top"/>
          </w:tcPr>
          <w:p>
            <w:pPr>
              <w:rPr>
                <w:rFonts w:ascii="楷体" w:hAnsi="楷体" w:eastAsia="楷体"/>
                <w:b w:val="0"/>
                <w:bCs w:val="0"/>
                <w:color w:val="auto"/>
                <w:u w:val="none"/>
              </w:rPr>
            </w:pPr>
            <w:r>
              <w:rPr>
                <w:rFonts w:hint="eastAsia" w:ascii="楷体" w:hAnsi="楷体" w:eastAsia="楷体"/>
                <w:b w:val="0"/>
                <w:bCs w:val="0"/>
                <w:color w:val="auto"/>
                <w:u w:val="none"/>
                <w:lang w:eastAsia="zh-CN"/>
              </w:rPr>
              <w:t>【2026】</w:t>
            </w:r>
            <w:r>
              <w:rPr>
                <w:rFonts w:ascii="楷体" w:hAnsi="楷体" w:eastAsia="楷体"/>
                <w:b w:val="0"/>
                <w:bCs w:val="0"/>
                <w:color w:val="auto"/>
                <w:u w:val="none"/>
              </w:rPr>
              <w:t>年</w:t>
            </w:r>
            <w:r>
              <w:rPr>
                <w:rFonts w:hint="eastAsia" w:ascii="楷体" w:hAnsi="楷体" w:eastAsia="楷体"/>
                <w:b w:val="0"/>
                <w:bCs w:val="0"/>
                <w:color w:val="auto"/>
                <w:u w:val="none"/>
                <w:lang w:eastAsia="zh-CN"/>
              </w:rPr>
              <w:t>【08】</w:t>
            </w:r>
            <w:r>
              <w:rPr>
                <w:rFonts w:ascii="楷体" w:hAnsi="楷体" w:eastAsia="楷体"/>
                <w:b w:val="0"/>
                <w:bCs w:val="0"/>
                <w:color w:val="auto"/>
                <w:u w:val="none"/>
              </w:rPr>
              <w:t>月</w:t>
            </w:r>
            <w:r>
              <w:rPr>
                <w:rFonts w:hint="eastAsia" w:ascii="楷体" w:hAnsi="楷体" w:eastAsia="楷体"/>
                <w:b w:val="0"/>
                <w:bCs w:val="0"/>
                <w:color w:val="auto"/>
                <w:u w:val="none"/>
                <w:lang w:eastAsia="zh-CN"/>
              </w:rPr>
              <w:t>【12】</w:t>
            </w:r>
            <w:r>
              <w:rPr>
                <w:rFonts w:ascii="楷体" w:hAnsi="楷体" w:eastAsia="楷体"/>
                <w:b w:val="0"/>
                <w:bCs w:val="0"/>
                <w:color w:val="auto"/>
                <w:u w:val="none"/>
              </w:rPr>
              <w:t>日</w:t>
            </w:r>
          </w:p>
          <w:p>
            <w:pPr>
              <w:rPr>
                <w:rFonts w:ascii="楷体" w:hAnsi="楷体" w:eastAsia="楷体"/>
                <w:b w:val="0"/>
                <w:bCs w:val="0"/>
                <w:color w:val="auto"/>
                <w:u w:val="none"/>
              </w:rPr>
            </w:pP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如遇非</w:t>
            </w:r>
            <w:r>
              <w:rPr>
                <w:rFonts w:hint="eastAsia" w:ascii="楷体" w:hAnsi="楷体" w:eastAsia="楷体"/>
                <w:b w:val="0"/>
                <w:bCs w:val="0"/>
                <w:color w:val="auto"/>
                <w:u w:val="none"/>
                <w:lang w:eastAsia="zh-CN"/>
              </w:rPr>
              <w:t>【交易日】</w:t>
            </w:r>
            <w:r>
              <w:rPr>
                <w:rFonts w:hint="eastAsia" w:ascii="楷体" w:hAnsi="楷体" w:eastAsia="楷体"/>
                <w:b w:val="0"/>
                <w:bCs w:val="0"/>
                <w:color w:val="auto"/>
                <w:u w:val="none"/>
              </w:rPr>
              <w:t>顺延至下一个</w:t>
            </w:r>
            <w:r>
              <w:rPr>
                <w:rFonts w:hint="eastAsia" w:ascii="楷体" w:hAnsi="楷体" w:eastAsia="楷体"/>
                <w:b w:val="0"/>
                <w:bCs w:val="0"/>
                <w:color w:val="auto"/>
                <w:u w:val="none"/>
                <w:lang w:eastAsia="zh-CN"/>
              </w:rPr>
              <w:t>【交易日】）</w:t>
            </w:r>
            <w:r>
              <w:rPr>
                <w:rFonts w:ascii="楷体" w:hAnsi="楷体" w:eastAsia="楷体"/>
                <w:b w:val="0"/>
                <w:bCs w:val="0"/>
                <w:color w:val="auto"/>
                <w:u w:val="none"/>
              </w:rPr>
              <w:t>。</w:t>
            </w:r>
          </w:p>
          <w:p>
            <w:pPr>
              <w:rPr>
                <w:rFonts w:hint="eastAsia" w:ascii="楷体" w:hAnsi="楷体" w:eastAsia="楷体"/>
                <w:b w:val="0"/>
                <w:bCs w:val="0"/>
                <w:color w:val="auto"/>
                <w:u w:val="none"/>
                <w:lang w:val="en-US" w:eastAsia="zh-CN"/>
              </w:rPr>
            </w:pPr>
            <w:r>
              <w:rPr>
                <w:rFonts w:hint="eastAsia" w:ascii="楷体" w:hAnsi="楷体" w:eastAsia="楷体"/>
                <w:b w:val="0"/>
                <w:bCs w:val="0"/>
                <w:color w:val="auto"/>
                <w:u w:val="none"/>
              </w:rPr>
              <w:t>产品管理人有权根据实际募集情况提前或延后产品成立日期，并相应调整其他产品要素，将依约定进行公告。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产品</w:t>
            </w:r>
            <w:r>
              <w:rPr>
                <w:rFonts w:ascii="楷体" w:hAnsi="楷体" w:eastAsia="楷体"/>
                <w:b/>
                <w:bCs/>
                <w:u w:val="none"/>
              </w:rPr>
              <w:t>预计到期日</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u w:val="none"/>
                <w:lang w:eastAsia="zh-CN"/>
              </w:rPr>
              <w:t>【2056】</w:t>
            </w:r>
            <w:r>
              <w:rPr>
                <w:rFonts w:hint="eastAsia" w:ascii="楷体" w:hAnsi="楷体" w:eastAsia="楷体"/>
                <w:b w:val="0"/>
                <w:bCs w:val="0"/>
                <w:color w:val="auto"/>
                <w:u w:val="none"/>
              </w:rPr>
              <w:t>年</w:t>
            </w:r>
            <w:r>
              <w:rPr>
                <w:rFonts w:hint="eastAsia" w:ascii="楷体" w:hAnsi="楷体" w:eastAsia="楷体"/>
                <w:b w:val="0"/>
                <w:bCs w:val="0"/>
                <w:color w:val="auto"/>
                <w:u w:val="none"/>
                <w:lang w:eastAsia="zh-CN"/>
              </w:rPr>
              <w:t>【09】</w:t>
            </w:r>
            <w:r>
              <w:rPr>
                <w:rFonts w:hint="eastAsia" w:ascii="楷体" w:hAnsi="楷体" w:eastAsia="楷体"/>
                <w:b w:val="0"/>
                <w:bCs w:val="0"/>
                <w:color w:val="auto"/>
                <w:u w:val="none"/>
              </w:rPr>
              <w:t>月</w:t>
            </w:r>
            <w:r>
              <w:rPr>
                <w:rFonts w:hint="eastAsia" w:ascii="楷体" w:hAnsi="楷体" w:eastAsia="楷体"/>
                <w:b w:val="0"/>
                <w:bCs w:val="0"/>
                <w:color w:val="auto"/>
                <w:u w:val="none"/>
                <w:lang w:eastAsia="zh-CN"/>
              </w:rPr>
              <w:t>【13】</w:t>
            </w:r>
            <w:r>
              <w:rPr>
                <w:rFonts w:hint="eastAsia" w:ascii="楷体" w:hAnsi="楷体" w:eastAsia="楷体"/>
                <w:b w:val="0"/>
                <w:bCs w:val="0"/>
                <w:color w:val="auto"/>
                <w:u w:val="none"/>
              </w:rPr>
              <w:t>日</w:t>
            </w:r>
            <w:r>
              <w:rPr>
                <w:rFonts w:ascii="楷体" w:hAnsi="楷体" w:eastAsia="楷体"/>
                <w:b w:val="0"/>
                <w:bCs w:val="0"/>
                <w:color w:val="auto"/>
                <w:u w:val="none"/>
              </w:rPr>
              <w:t>(</w:t>
            </w:r>
            <w:r>
              <w:rPr>
                <w:rFonts w:hint="eastAsia" w:ascii="楷体" w:hAnsi="楷体" w:eastAsia="楷体"/>
                <w:b w:val="0"/>
                <w:bCs w:val="0"/>
                <w:color w:val="auto"/>
                <w:u w:val="none"/>
              </w:rPr>
              <w:t>如遇非</w:t>
            </w:r>
            <w:r>
              <w:rPr>
                <w:rFonts w:hint="eastAsia" w:ascii="楷体" w:hAnsi="楷体" w:eastAsia="楷体"/>
                <w:b w:val="0"/>
                <w:bCs w:val="0"/>
                <w:color w:val="auto"/>
                <w:u w:val="none"/>
                <w:lang w:eastAsia="zh-CN"/>
              </w:rPr>
              <w:t>【交易日】</w:t>
            </w:r>
            <w:r>
              <w:rPr>
                <w:rFonts w:hint="eastAsia" w:ascii="楷体" w:hAnsi="楷体" w:eastAsia="楷体"/>
                <w:b w:val="0"/>
                <w:bCs w:val="0"/>
                <w:color w:val="auto"/>
                <w:u w:val="none"/>
              </w:rPr>
              <w:t>顺延至下一个</w:t>
            </w:r>
            <w:r>
              <w:rPr>
                <w:rFonts w:hint="eastAsia" w:ascii="楷体" w:hAnsi="楷体" w:eastAsia="楷体"/>
                <w:b w:val="0"/>
                <w:bCs w:val="0"/>
                <w:color w:val="auto"/>
                <w:u w:val="none"/>
                <w:lang w:eastAsia="zh-CN"/>
              </w:rPr>
              <w:t>【交易日】</w:t>
            </w:r>
            <w:r>
              <w:rPr>
                <w:rFonts w:ascii="楷体" w:hAnsi="楷体" w:eastAsia="楷体"/>
                <w:b w:val="0"/>
                <w:bCs w:val="0"/>
                <w:color w:val="auto"/>
                <w:u w:val="none"/>
              </w:rPr>
              <w:t>)</w:t>
            </w:r>
            <w:r>
              <w:rPr>
                <w:rFonts w:hint="eastAsia" w:ascii="楷体" w:hAnsi="楷体" w:eastAsia="楷体"/>
                <w:b w:val="0"/>
                <w:bCs w:val="0"/>
                <w:color w:val="auto"/>
                <w:u w:val="none"/>
              </w:rPr>
              <w:t>。在</w:t>
            </w:r>
            <w:r>
              <w:rPr>
                <w:rFonts w:ascii="楷体" w:hAnsi="楷体" w:eastAsia="楷体"/>
                <w:b w:val="0"/>
                <w:bCs w:val="0"/>
                <w:color w:val="auto"/>
                <w:u w:val="none"/>
              </w:rPr>
              <w:t>理财产品</w:t>
            </w:r>
            <w:r>
              <w:rPr>
                <w:rFonts w:hint="eastAsia" w:ascii="楷体" w:hAnsi="楷体" w:eastAsia="楷体"/>
                <w:b w:val="0"/>
                <w:bCs w:val="0"/>
                <w:color w:val="auto"/>
                <w:u w:val="none"/>
              </w:rPr>
              <w:t>存续期内，管理人有权根据本</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产品说明书</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约定事由宣布提前或延期终止本</w:t>
            </w:r>
            <w:r>
              <w:rPr>
                <w:rFonts w:ascii="楷体" w:hAnsi="楷体" w:eastAsia="楷体"/>
                <w:b w:val="0"/>
                <w:bCs w:val="0"/>
                <w:color w:val="auto"/>
                <w:u w:val="none"/>
              </w:rPr>
              <w:t>理财产品</w:t>
            </w:r>
            <w:r>
              <w:rPr>
                <w:rFonts w:hint="eastAsia" w:ascii="楷体" w:hAnsi="楷体" w:eastAsia="楷体"/>
                <w:b w:val="0"/>
                <w:bCs w:val="0"/>
                <w:color w:val="auto"/>
                <w:u w:val="none"/>
              </w:rPr>
              <w:t>。如管理人提前终止或延长</w:t>
            </w:r>
            <w:r>
              <w:rPr>
                <w:rFonts w:ascii="楷体" w:hAnsi="楷体" w:eastAsia="楷体"/>
                <w:b w:val="0"/>
                <w:bCs w:val="0"/>
                <w:color w:val="auto"/>
                <w:u w:val="none"/>
              </w:rPr>
              <w:t>理财产品</w:t>
            </w:r>
            <w:r>
              <w:rPr>
                <w:rFonts w:hint="eastAsia" w:ascii="楷体" w:hAnsi="楷体" w:eastAsia="楷体"/>
                <w:b w:val="0"/>
                <w:bCs w:val="0"/>
                <w:color w:val="auto"/>
                <w:u w:val="none"/>
              </w:rPr>
              <w:t>期限，将提前</w:t>
            </w:r>
            <w:r>
              <w:rPr>
                <w:rFonts w:ascii="楷体" w:hAnsi="楷体" w:eastAsia="楷体"/>
                <w:b w:val="0"/>
                <w:bCs w:val="0"/>
                <w:color w:val="auto"/>
                <w:u w:val="none"/>
              </w:rPr>
              <w:t>2</w:t>
            </w:r>
            <w:r>
              <w:rPr>
                <w:rFonts w:hint="eastAsia" w:ascii="楷体" w:hAnsi="楷体" w:eastAsia="楷体"/>
                <w:b w:val="0"/>
                <w:bCs w:val="0"/>
                <w:color w:val="auto"/>
                <w:u w:val="none"/>
              </w:rPr>
              <w:t>个工作日按</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lang w:val="en-US" w:eastAsia="zh-CN"/>
              </w:rPr>
              <w:t>产品说明书</w:t>
            </w:r>
            <w:r>
              <w:rPr>
                <w:rFonts w:hint="eastAsia" w:ascii="楷体" w:hAnsi="楷体" w:eastAsia="楷体"/>
                <w:b w:val="0"/>
                <w:bCs w:val="0"/>
                <w:color w:val="auto"/>
                <w:u w:val="none"/>
                <w:lang w:eastAsia="zh-CN"/>
              </w:rPr>
              <w:t>》</w:t>
            </w:r>
            <w:r>
              <w:rPr>
                <w:rFonts w:ascii="楷体" w:hAnsi="楷体" w:eastAsia="楷体"/>
                <w:b w:val="0"/>
                <w:bCs w:val="0"/>
                <w:color w:val="auto"/>
                <w:u w:val="none"/>
              </w:rPr>
              <w:t>“</w:t>
            </w:r>
            <w:r>
              <w:rPr>
                <w:rFonts w:hint="eastAsia" w:ascii="楷体" w:hAnsi="楷体" w:eastAsia="楷体"/>
                <w:b w:val="0"/>
                <w:bCs w:val="0"/>
                <w:color w:val="auto"/>
                <w:u w:val="none"/>
              </w:rPr>
              <w:t>信息披露</w:t>
            </w:r>
            <w:r>
              <w:rPr>
                <w:rFonts w:ascii="楷体" w:hAnsi="楷体" w:eastAsia="楷体"/>
                <w:b w:val="0"/>
                <w:bCs w:val="0"/>
                <w:color w:val="auto"/>
                <w:u w:val="none"/>
              </w:rPr>
              <w:t>”</w:t>
            </w:r>
            <w:r>
              <w:rPr>
                <w:rFonts w:hint="eastAsia" w:ascii="楷体" w:hAnsi="楷体" w:eastAsia="楷体"/>
                <w:b w:val="0"/>
                <w:bCs w:val="0"/>
                <w:color w:val="auto"/>
                <w:u w:val="none"/>
              </w:rPr>
              <w:t>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产品实际</w:t>
            </w:r>
            <w:r>
              <w:rPr>
                <w:rFonts w:ascii="楷体" w:hAnsi="楷体" w:eastAsia="楷体"/>
                <w:b/>
                <w:bCs/>
                <w:u w:val="none"/>
              </w:rPr>
              <w:t>到期日</w:t>
            </w:r>
          </w:p>
        </w:tc>
        <w:tc>
          <w:tcPr>
            <w:tcW w:w="6146" w:type="dxa"/>
            <w:vAlign w:val="top"/>
          </w:tcPr>
          <w:p>
            <w:pPr>
              <w:rPr>
                <w:rFonts w:hint="eastAsia" w:ascii="楷体" w:hAnsi="楷体" w:eastAsia="楷体"/>
                <w:b w:val="0"/>
                <w:bCs w:val="0"/>
                <w:color w:val="auto"/>
                <w:u w:val="none"/>
                <w:lang w:eastAsia="zh-CN"/>
              </w:rPr>
            </w:pPr>
            <w:r>
              <w:rPr>
                <w:rFonts w:hint="eastAsia" w:ascii="楷体" w:hAnsi="楷体" w:eastAsia="楷体"/>
                <w:b w:val="0"/>
                <w:bCs w:val="0"/>
                <w:color w:val="auto"/>
                <w:u w:val="none"/>
              </w:rPr>
              <w:t>指理财产品实际</w:t>
            </w:r>
            <w:r>
              <w:rPr>
                <w:rFonts w:ascii="楷体" w:hAnsi="楷体" w:eastAsia="楷体"/>
                <w:b w:val="0"/>
                <w:bCs w:val="0"/>
                <w:color w:val="auto"/>
                <w:u w:val="none"/>
              </w:rPr>
              <w:t>终止之日，包括理财</w:t>
            </w:r>
            <w:r>
              <w:rPr>
                <w:rFonts w:hint="eastAsia" w:ascii="楷体" w:hAnsi="楷体" w:eastAsia="楷体"/>
                <w:b w:val="0"/>
                <w:bCs w:val="0"/>
                <w:color w:val="auto"/>
                <w:u w:val="none"/>
              </w:rPr>
              <w:t>产品预计到期日，或管理人根据本《产品说明书》约定宣布本理财产品</w:t>
            </w:r>
            <w:r>
              <w:rPr>
                <w:rFonts w:ascii="楷体" w:hAnsi="楷体" w:eastAsia="楷体"/>
                <w:b w:val="0"/>
                <w:bCs w:val="0"/>
                <w:color w:val="auto"/>
                <w:u w:val="none"/>
              </w:rPr>
              <w:t>早于理财</w:t>
            </w:r>
            <w:r>
              <w:rPr>
                <w:rFonts w:hint="eastAsia" w:ascii="楷体" w:hAnsi="楷体" w:eastAsia="楷体"/>
                <w:b w:val="0"/>
                <w:bCs w:val="0"/>
                <w:color w:val="auto"/>
                <w:u w:val="none"/>
              </w:rPr>
              <w:t>产品预计到期日而终止之日或宣布本理财产品延长后的终止之日。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76" w:type="dxa"/>
            <w:vAlign w:val="center"/>
          </w:tcPr>
          <w:p>
            <w:pPr>
              <w:rPr>
                <w:rFonts w:hint="eastAsia" w:ascii="楷体" w:hAnsi="楷体" w:eastAsia="楷体"/>
                <w:b/>
                <w:bCs/>
                <w:u w:val="none"/>
              </w:rPr>
            </w:pPr>
            <w:r>
              <w:rPr>
                <w:rFonts w:hint="eastAsia" w:ascii="楷体" w:hAnsi="楷体" w:eastAsia="楷体"/>
                <w:b/>
                <w:bCs/>
                <w:highlight w:val="none"/>
                <w:u w:val="none"/>
              </w:rPr>
              <w:t>投资封闭期</w:t>
            </w:r>
          </w:p>
        </w:tc>
        <w:tc>
          <w:tcPr>
            <w:tcW w:w="6146" w:type="dxa"/>
            <w:vAlign w:val="top"/>
          </w:tcPr>
          <w:p>
            <w:pPr>
              <w:rPr>
                <w:rFonts w:hint="eastAsia" w:ascii="楷体" w:hAnsi="楷体" w:eastAsia="楷体"/>
                <w:b w:val="0"/>
                <w:bCs w:val="0"/>
                <w:color w:val="auto"/>
                <w:u w:val="none"/>
              </w:rPr>
            </w:pPr>
            <w:r>
              <w:rPr>
                <w:rFonts w:hint="eastAsia" w:ascii="楷体" w:hAnsi="楷体" w:eastAsia="楷体"/>
                <w:b w:val="0"/>
                <w:bCs w:val="0"/>
                <w:color w:val="auto"/>
                <w:highlight w:val="none"/>
                <w:u w:val="none"/>
                <w:lang w:eastAsia="zh-CN"/>
              </w:rPr>
              <w:t>【本产品不设投资封闭期。】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76" w:type="dxa"/>
            <w:vAlign w:val="center"/>
          </w:tcPr>
          <w:p>
            <w:pPr>
              <w:rPr>
                <w:rFonts w:hint="eastAsia" w:ascii="楷体" w:hAnsi="楷体" w:eastAsia="楷体"/>
                <w:b/>
                <w:bCs/>
                <w:highlight w:val="none"/>
                <w:u w:val="none"/>
              </w:rPr>
            </w:pPr>
            <w:r>
              <w:rPr>
                <w:rFonts w:hint="eastAsia" w:ascii="楷体" w:hAnsi="楷体" w:eastAsia="楷体"/>
                <w:b/>
                <w:bCs/>
                <w:u w:val="none"/>
              </w:rPr>
              <w:t>产品开放日</w:t>
            </w:r>
          </w:p>
        </w:tc>
        <w:tc>
          <w:tcPr>
            <w:tcW w:w="6146" w:type="dxa"/>
            <w:vAlign w:val="top"/>
          </w:tcPr>
          <w:p>
            <w:pPr>
              <w:rPr>
                <w:rFonts w:hint="eastAsia" w:ascii="楷体" w:hAnsi="楷体" w:eastAsia="楷体"/>
                <w:b w:val="0"/>
                <w:bCs w:val="0"/>
                <w:color w:val="auto"/>
                <w:highlight w:val="none"/>
                <w:u w:val="none"/>
                <w:lang w:eastAsia="zh-CN"/>
              </w:rPr>
            </w:pPr>
            <w:r>
              <w:rPr>
                <w:rFonts w:hint="eastAsia" w:ascii="楷体" w:hAnsi="楷体" w:eastAsia="楷体"/>
                <w:b w:val="0"/>
                <w:bCs w:val="0"/>
                <w:color w:val="auto"/>
                <w:highlight w:val="none"/>
                <w:u w:val="none"/>
                <w:lang w:val="en-US" w:eastAsia="zh-CN"/>
              </w:rPr>
              <w:t>【在理财产品存续期内，除投资封闭期外每一自然日为产品开放日】</w:t>
            </w:r>
            <w:r>
              <w:rPr>
                <w:rFonts w:hint="eastAsia" w:ascii="楷体" w:hAnsi="楷体" w:eastAsia="楷体"/>
                <w:b w:val="0"/>
                <w:bCs w:val="0"/>
                <w:color w:val="auto"/>
                <w:u w:val="none"/>
                <w:lang w:eastAsia="zh-CN"/>
              </w:rPr>
              <w:t>，</w:t>
            </w:r>
            <w:r>
              <w:rPr>
                <w:rFonts w:hint="eastAsia" w:ascii="楷体" w:hAnsi="楷体" w:eastAsia="楷体"/>
                <w:b w:val="0"/>
                <w:bCs w:val="0"/>
                <w:color w:val="auto"/>
              </w:rPr>
              <w:t>管理人将在产品开放日受理本理财产品的申购申请</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rPr>
              <w:t>在理财产品存续期内，管理人有权根据市场情况变化暂停本理财产品的申购，暂停公告通过</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lang w:val="en-US" w:eastAsia="zh-CN"/>
              </w:rPr>
              <w:t>产品说明书</w:t>
            </w:r>
            <w:r>
              <w:rPr>
                <w:rFonts w:hint="eastAsia" w:ascii="楷体" w:hAnsi="楷体" w:eastAsia="楷体"/>
                <w:b w:val="0"/>
                <w:bCs w:val="0"/>
                <w:color w:val="auto"/>
                <w:u w:val="none"/>
                <w:lang w:eastAsia="zh-CN"/>
              </w:rPr>
              <w:t>》</w:t>
            </w:r>
            <w:r>
              <w:rPr>
                <w:rFonts w:ascii="楷体" w:hAnsi="楷体" w:eastAsia="楷体"/>
                <w:b w:val="0"/>
                <w:bCs w:val="0"/>
                <w:color w:val="auto"/>
                <w:u w:val="none"/>
              </w:rPr>
              <w:t>“</w:t>
            </w:r>
            <w:r>
              <w:rPr>
                <w:rFonts w:hint="eastAsia" w:ascii="楷体" w:hAnsi="楷体" w:eastAsia="楷体"/>
                <w:b w:val="0"/>
                <w:bCs w:val="0"/>
                <w:color w:val="auto"/>
                <w:u w:val="none"/>
              </w:rPr>
              <w:t>信息披露</w:t>
            </w:r>
            <w:r>
              <w:rPr>
                <w:rFonts w:ascii="楷体" w:hAnsi="楷体" w:eastAsia="楷体"/>
                <w:b w:val="0"/>
                <w:bCs w:val="0"/>
                <w:color w:val="auto"/>
                <w:u w:val="none"/>
              </w:rPr>
              <w:t>”</w:t>
            </w:r>
            <w:r>
              <w:rPr>
                <w:rFonts w:hint="eastAsia" w:ascii="楷体" w:hAnsi="楷体" w:eastAsia="楷体"/>
                <w:b w:val="0"/>
                <w:bCs w:val="0"/>
                <w:color w:val="auto"/>
                <w:u w:val="none"/>
              </w:rPr>
              <w:t>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b/>
                <w:bCs/>
                <w:u w:val="none"/>
              </w:rPr>
            </w:pPr>
            <w:r>
              <w:rPr>
                <w:rFonts w:hint="eastAsia" w:ascii="楷体" w:hAnsi="楷体" w:eastAsia="楷体"/>
                <w:b/>
                <w:bCs/>
                <w:u w:val="none"/>
              </w:rPr>
              <w:t>最短持有期</w:t>
            </w:r>
          </w:p>
        </w:tc>
        <w:tc>
          <w:tcPr>
            <w:tcW w:w="6146" w:type="dxa"/>
            <w:vAlign w:val="top"/>
          </w:tcPr>
          <w:p>
            <w:pPr>
              <w:rPr>
                <w:rFonts w:hint="eastAsia" w:ascii="楷体" w:hAnsi="楷体" w:eastAsia="楷体"/>
                <w:b w:val="0"/>
                <w:bCs w:val="0"/>
                <w:color w:val="auto"/>
                <w:u w:val="none"/>
                <w:lang w:eastAsia="zh-CN"/>
              </w:rPr>
            </w:pPr>
            <w:r>
              <w:rPr>
                <w:rFonts w:hint="eastAsia" w:ascii="楷体" w:hAnsi="楷体" w:eastAsia="楷体"/>
                <w:b w:val="0"/>
                <w:bCs w:val="0"/>
                <w:color w:val="auto"/>
                <w:u w:val="none"/>
              </w:rPr>
              <w:t>指本理财产品对投资者的每笔有效认</w:t>
            </w:r>
            <w:r>
              <w:rPr>
                <w:rFonts w:ascii="楷体" w:hAnsi="楷体" w:eastAsia="楷体"/>
                <w:b w:val="0"/>
                <w:bCs w:val="0"/>
                <w:color w:val="auto"/>
                <w:u w:val="none"/>
              </w:rPr>
              <w:t>/</w:t>
            </w:r>
            <w:r>
              <w:rPr>
                <w:rFonts w:hint="eastAsia" w:ascii="楷体" w:hAnsi="楷体" w:eastAsia="楷体"/>
                <w:b w:val="0"/>
                <w:bCs w:val="0"/>
                <w:color w:val="auto"/>
                <w:u w:val="none"/>
              </w:rPr>
              <w:t>申购设置</w:t>
            </w:r>
            <w:r>
              <w:rPr>
                <w:rFonts w:hint="eastAsia" w:ascii="楷体" w:hAnsi="楷体" w:eastAsia="楷体"/>
                <w:b w:val="0"/>
                <w:bCs w:val="0"/>
                <w:color w:val="auto"/>
                <w:u w:val="none"/>
                <w:lang w:eastAsia="zh-CN"/>
              </w:rPr>
              <w:t>【90】</w:t>
            </w:r>
            <w:r>
              <w:rPr>
                <w:rFonts w:hint="eastAsia" w:ascii="楷体" w:hAnsi="楷体" w:eastAsia="楷体"/>
                <w:b w:val="0"/>
                <w:bCs w:val="0"/>
                <w:color w:val="auto"/>
                <w:u w:val="none"/>
                <w:lang w:val="en-US" w:eastAsia="zh-CN"/>
              </w:rPr>
              <w:t>个自然日</w:t>
            </w:r>
            <w:r>
              <w:rPr>
                <w:rFonts w:hint="eastAsia" w:ascii="楷体" w:hAnsi="楷体" w:eastAsia="楷体"/>
                <w:b w:val="0"/>
                <w:bCs w:val="0"/>
                <w:color w:val="auto"/>
                <w:u w:val="none"/>
              </w:rPr>
              <w:t>的最短持有期限</w:t>
            </w:r>
            <w:r>
              <w:rPr>
                <w:rFonts w:hint="eastAsia" w:ascii="楷体" w:hAnsi="楷体" w:eastAsia="楷体"/>
                <w:b w:val="0"/>
                <w:bCs w:val="0"/>
                <w:color w:val="auto"/>
                <w:u w:val="none"/>
                <w:lang w:eastAsia="zh-CN"/>
              </w:rPr>
              <w:t>。</w:t>
            </w:r>
          </w:p>
          <w:p>
            <w:pPr>
              <w:rPr>
                <w:rFonts w:hint="eastAsia" w:ascii="楷体" w:hAnsi="楷体" w:eastAsia="楷体" w:cs="楷体"/>
                <w:b w:val="0"/>
                <w:bCs w:val="0"/>
                <w:color w:val="auto"/>
                <w:u w:val="none"/>
                <w:lang w:eastAsia="zh-CN"/>
              </w:rPr>
            </w:pPr>
            <w:r>
              <w:rPr>
                <w:rFonts w:hint="eastAsia" w:ascii="楷体" w:hAnsi="楷体" w:eastAsia="楷体"/>
                <w:color w:val="auto"/>
                <w:u w:val="none"/>
                <w:lang w:val="en-US" w:eastAsia="zh-CN"/>
              </w:rPr>
              <w:t>最短持有期起始日</w:t>
            </w:r>
            <w:r>
              <w:rPr>
                <w:rFonts w:hint="eastAsia" w:ascii="楷体" w:hAnsi="楷体" w:eastAsia="楷体" w:cs="楷体"/>
                <w:b w:val="0"/>
                <w:bCs w:val="0"/>
                <w:color w:val="auto"/>
                <w:u w:val="none"/>
              </w:rPr>
              <w:t>即</w:t>
            </w:r>
            <w:r>
              <w:rPr>
                <w:rFonts w:hint="eastAsia" w:ascii="楷体" w:hAnsi="楷体" w:eastAsia="楷体"/>
                <w:color w:val="auto"/>
                <w:u w:val="none"/>
              </w:rPr>
              <w:t>认</w:t>
            </w:r>
            <w:r>
              <w:rPr>
                <w:rFonts w:ascii="楷体" w:hAnsi="楷体" w:eastAsia="楷体"/>
                <w:color w:val="auto"/>
                <w:u w:val="none"/>
              </w:rPr>
              <w:t>/</w:t>
            </w:r>
            <w:r>
              <w:rPr>
                <w:rFonts w:hint="eastAsia" w:ascii="楷体" w:hAnsi="楷体" w:eastAsia="楷体"/>
                <w:color w:val="auto"/>
                <w:u w:val="none"/>
              </w:rPr>
              <w:t>申购</w:t>
            </w:r>
            <w:r>
              <w:rPr>
                <w:rFonts w:hint="eastAsia" w:ascii="楷体" w:hAnsi="楷体" w:eastAsia="楷体"/>
                <w:color w:val="auto"/>
                <w:u w:val="none"/>
                <w:lang w:val="en-US" w:eastAsia="zh-CN"/>
              </w:rPr>
              <w:t>对应的</w:t>
            </w:r>
            <w:r>
              <w:rPr>
                <w:rFonts w:hint="eastAsia" w:ascii="楷体" w:hAnsi="楷体" w:eastAsia="楷体"/>
                <w:color w:val="auto"/>
                <w:u w:val="none"/>
              </w:rPr>
              <w:t>成立日</w:t>
            </w:r>
            <w:r>
              <w:rPr>
                <w:rFonts w:hint="eastAsia" w:ascii="楷体" w:hAnsi="楷体" w:eastAsia="楷体"/>
                <w:color w:val="auto"/>
                <w:u w:val="none"/>
                <w:lang w:val="en-US" w:eastAsia="zh-CN"/>
              </w:rPr>
              <w:t>/确认</w:t>
            </w:r>
            <w:r>
              <w:rPr>
                <w:rFonts w:hint="eastAsia" w:ascii="楷体" w:hAnsi="楷体" w:eastAsia="楷体"/>
                <w:color w:val="auto"/>
                <w:u w:val="none"/>
              </w:rPr>
              <w:t>日</w:t>
            </w:r>
            <w:r>
              <w:rPr>
                <w:rFonts w:hint="eastAsia" w:ascii="楷体" w:hAnsi="楷体" w:eastAsia="楷体"/>
                <w:color w:val="auto"/>
                <w:u w:val="none"/>
                <w:lang w:eastAsia="zh-CN"/>
              </w:rPr>
              <w:t>，</w:t>
            </w:r>
            <w:r>
              <w:rPr>
                <w:rFonts w:hint="eastAsia" w:ascii="楷体" w:hAnsi="楷体" w:eastAsia="楷体" w:cs="楷体"/>
                <w:b w:val="0"/>
                <w:bCs w:val="0"/>
                <w:color w:val="auto"/>
                <w:u w:val="none"/>
              </w:rPr>
              <w:t>每笔理财产品份额</w:t>
            </w:r>
            <w:r>
              <w:rPr>
                <w:rFonts w:hint="eastAsia" w:ascii="楷体" w:hAnsi="楷体" w:eastAsia="楷体"/>
                <w:color w:val="auto"/>
                <w:u w:val="none"/>
                <w:lang w:val="en-US" w:eastAsia="zh-CN"/>
              </w:rPr>
              <w:t>从最短持有期起始日</w:t>
            </w:r>
            <w:r>
              <w:rPr>
                <w:rFonts w:hint="eastAsia" w:ascii="楷体" w:hAnsi="楷体" w:eastAsia="楷体" w:cs="楷体"/>
                <w:b w:val="0"/>
                <w:bCs w:val="0"/>
                <w:color w:val="auto"/>
                <w:u w:val="none"/>
              </w:rPr>
              <w:t>起，至其后第</w:t>
            </w:r>
            <w:r>
              <w:rPr>
                <w:rFonts w:hint="eastAsia" w:ascii="楷体" w:hAnsi="楷体" w:eastAsia="楷体" w:cs="楷体"/>
                <w:b w:val="0"/>
                <w:bCs w:val="0"/>
                <w:color w:val="auto"/>
                <w:u w:val="none"/>
                <w:lang w:eastAsia="zh-CN"/>
              </w:rPr>
              <w:t>【90】</w:t>
            </w:r>
            <w:r>
              <w:rPr>
                <w:rFonts w:hint="eastAsia" w:ascii="楷体" w:hAnsi="楷体" w:eastAsia="楷体" w:cs="楷体"/>
                <w:b w:val="0"/>
                <w:bCs w:val="0"/>
                <w:color w:val="auto"/>
                <w:u w:val="none"/>
              </w:rPr>
              <w:t>个自然日（不含）内，投资者不能提出赎回申请</w:t>
            </w:r>
            <w:r>
              <w:rPr>
                <w:rFonts w:hint="eastAsia" w:ascii="楷体" w:hAnsi="楷体" w:eastAsia="楷体" w:cs="楷体"/>
                <w:b w:val="0"/>
                <w:bCs w:val="0"/>
                <w:color w:val="auto"/>
                <w:u w:val="none"/>
                <w:lang w:eastAsia="zh-CN"/>
              </w:rPr>
              <w:t>。</w:t>
            </w:r>
          </w:p>
          <w:p>
            <w:pPr>
              <w:rPr>
                <w:rFonts w:hint="eastAsia" w:ascii="楷体" w:hAnsi="楷体" w:eastAsia="楷体"/>
                <w:b w:val="0"/>
                <w:bCs w:val="0"/>
                <w:color w:val="auto"/>
                <w:u w:val="none"/>
              </w:rPr>
            </w:pPr>
            <w:r>
              <w:rPr>
                <w:rFonts w:hint="eastAsia" w:ascii="楷体" w:hAnsi="楷体" w:eastAsia="楷体"/>
                <w:color w:val="auto"/>
              </w:rPr>
              <w:t>最短持有期结束日为</w:t>
            </w:r>
            <w:r>
              <w:rPr>
                <w:rFonts w:hint="eastAsia" w:ascii="楷体" w:hAnsi="楷体" w:eastAsia="楷体" w:cs="楷体"/>
                <w:b w:val="0"/>
                <w:bCs w:val="0"/>
                <w:color w:val="auto"/>
                <w:u w:val="none"/>
              </w:rPr>
              <w:t>最短持有期起始日后的第</w:t>
            </w:r>
            <w:r>
              <w:rPr>
                <w:rFonts w:hint="eastAsia" w:ascii="楷体" w:hAnsi="楷体" w:eastAsia="楷体" w:cs="楷体"/>
                <w:b w:val="0"/>
                <w:bCs w:val="0"/>
                <w:color w:val="auto"/>
                <w:u w:val="none"/>
                <w:lang w:eastAsia="zh-CN"/>
              </w:rPr>
              <w:t>【90】</w:t>
            </w:r>
            <w:r>
              <w:rPr>
                <w:rFonts w:hint="eastAsia" w:ascii="楷体" w:hAnsi="楷体" w:eastAsia="楷体" w:cs="楷体"/>
                <w:b w:val="0"/>
                <w:bCs w:val="0"/>
                <w:color w:val="auto"/>
                <w:u w:val="none"/>
              </w:rPr>
              <w:t>个自然日（</w:t>
            </w:r>
            <w:r>
              <w:rPr>
                <w:rFonts w:hint="eastAsia" w:ascii="楷体" w:hAnsi="楷体" w:eastAsia="楷体" w:cs="楷体"/>
                <w:b w:val="0"/>
                <w:bCs w:val="0"/>
                <w:color w:val="auto"/>
                <w:u w:val="none"/>
                <w:lang w:val="en-US" w:eastAsia="zh-CN"/>
              </w:rPr>
              <w:t>如</w:t>
            </w:r>
            <w:r>
              <w:rPr>
                <w:rFonts w:hint="eastAsia" w:ascii="楷体" w:hAnsi="楷体" w:eastAsia="楷体" w:cs="楷体"/>
                <w:b w:val="0"/>
                <w:bCs w:val="0"/>
                <w:color w:val="auto"/>
                <w:u w:val="none"/>
              </w:rPr>
              <w:t>遇非</w:t>
            </w:r>
            <w:r>
              <w:rPr>
                <w:rFonts w:hint="eastAsia" w:ascii="楷体" w:hAnsi="楷体" w:eastAsia="楷体" w:cs="楷体"/>
                <w:b w:val="0"/>
                <w:bCs w:val="0"/>
                <w:color w:val="auto"/>
                <w:u w:val="none"/>
                <w:lang w:eastAsia="zh-CN"/>
              </w:rPr>
              <w:t>【交易日】</w:t>
            </w:r>
            <w:r>
              <w:rPr>
                <w:rFonts w:hint="eastAsia" w:ascii="楷体" w:hAnsi="楷体" w:eastAsia="楷体" w:cs="楷体"/>
                <w:b w:val="0"/>
                <w:bCs w:val="0"/>
                <w:color w:val="auto"/>
                <w:u w:val="none"/>
                <w:lang w:val="en-US" w:eastAsia="zh-CN"/>
              </w:rPr>
              <w:t>则</w:t>
            </w:r>
            <w:r>
              <w:rPr>
                <w:rFonts w:hint="eastAsia" w:ascii="楷体" w:hAnsi="楷体" w:eastAsia="楷体" w:cs="楷体"/>
                <w:b w:val="0"/>
                <w:bCs w:val="0"/>
                <w:color w:val="auto"/>
                <w:u w:val="none"/>
              </w:rPr>
              <w:t>顺延至下一个</w:t>
            </w:r>
            <w:r>
              <w:rPr>
                <w:rFonts w:hint="eastAsia" w:ascii="楷体" w:hAnsi="楷体" w:eastAsia="楷体" w:cs="楷体"/>
                <w:b w:val="0"/>
                <w:bCs w:val="0"/>
                <w:color w:val="auto"/>
                <w:u w:val="none"/>
                <w:lang w:eastAsia="zh-CN"/>
              </w:rPr>
              <w:t>【交易日】</w:t>
            </w:r>
            <w:r>
              <w:rPr>
                <w:rFonts w:hint="eastAsia" w:ascii="楷体" w:hAnsi="楷体" w:eastAsia="楷体" w:cs="楷体"/>
                <w:b w:val="0"/>
                <w:bCs w:val="0"/>
                <w:color w:val="auto"/>
                <w:u w:val="none"/>
              </w:rPr>
              <w:t>）</w:t>
            </w:r>
            <w:r>
              <w:rPr>
                <w:rFonts w:hint="eastAsia" w:ascii="楷体" w:hAnsi="楷体" w:eastAsia="楷体" w:cs="楷体"/>
                <w:b w:val="0"/>
                <w:bCs w:val="0"/>
                <w:color w:val="auto"/>
                <w:u w:val="none"/>
                <w:lang w:eastAsia="zh-CN"/>
              </w:rPr>
              <w:t>，</w:t>
            </w:r>
            <w:r>
              <w:rPr>
                <w:rFonts w:hint="eastAsia" w:ascii="楷体" w:hAnsi="楷体" w:eastAsia="楷体"/>
                <w:color w:val="auto"/>
              </w:rPr>
              <w:t>从最短持有期结束日当日（含）起，</w:t>
            </w:r>
            <w:r>
              <w:rPr>
                <w:rFonts w:hint="eastAsia" w:ascii="楷体" w:hAnsi="楷体" w:eastAsia="楷体" w:cs="楷体"/>
                <w:b w:val="0"/>
                <w:bCs w:val="0"/>
                <w:color w:val="auto"/>
                <w:u w:val="none"/>
              </w:rPr>
              <w:t>投资者可以提出赎回申请。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tabs>
                <w:tab w:val="center" w:pos="1080"/>
              </w:tabs>
              <w:rPr>
                <w:rFonts w:hint="eastAsia" w:ascii="楷体" w:hAnsi="楷体" w:eastAsia="楷体"/>
                <w:b/>
                <w:bCs/>
                <w:u w:val="none"/>
                <w:lang w:eastAsia="zh-CN"/>
              </w:rPr>
            </w:pPr>
            <w:r>
              <w:rPr>
                <w:rFonts w:hint="eastAsia" w:ascii="楷体" w:hAnsi="楷体" w:eastAsia="楷体"/>
                <w:b/>
                <w:bCs/>
                <w:u w:val="none"/>
              </w:rPr>
              <w:t>开放持有期</w:t>
            </w:r>
            <w:r>
              <w:rPr>
                <w:rFonts w:hint="eastAsia" w:ascii="楷体" w:hAnsi="楷体" w:eastAsia="楷体"/>
                <w:b/>
                <w:bCs/>
                <w:u w:val="none"/>
                <w:lang w:eastAsia="zh-CN"/>
              </w:rPr>
              <w:tab/>
            </w:r>
          </w:p>
        </w:tc>
        <w:tc>
          <w:tcPr>
            <w:tcW w:w="6146" w:type="dxa"/>
            <w:vAlign w:val="top"/>
          </w:tcPr>
          <w:p>
            <w:pPr>
              <w:rPr>
                <w:rFonts w:ascii="楷体" w:hAnsi="楷体" w:eastAsia="楷体"/>
                <w:b w:val="0"/>
                <w:bCs w:val="0"/>
                <w:color w:val="auto"/>
                <w:u w:val="none"/>
              </w:rPr>
            </w:pPr>
            <w:r>
              <w:rPr>
                <w:rFonts w:hint="eastAsia" w:ascii="楷体" w:hAnsi="楷体" w:eastAsia="楷体"/>
                <w:color w:val="auto"/>
              </w:rPr>
              <w:t>对于每份产品份额，最短持有期结束即进入开放持有期，开放持有期首日</w:t>
            </w:r>
            <w:r>
              <w:rPr>
                <w:rFonts w:hint="eastAsia" w:ascii="楷体" w:hAnsi="楷体" w:eastAsia="楷体"/>
                <w:color w:val="auto"/>
                <w:lang w:val="en-US" w:eastAsia="zh-CN"/>
              </w:rPr>
              <w:t>即</w:t>
            </w:r>
            <w:r>
              <w:rPr>
                <w:rFonts w:hint="eastAsia" w:ascii="楷体" w:hAnsi="楷体" w:eastAsia="楷体"/>
                <w:color w:val="auto"/>
              </w:rPr>
              <w:t>最短持有期结束日。</w:t>
            </w:r>
            <w:r>
              <w:rPr>
                <w:rFonts w:hint="eastAsia" w:ascii="楷体" w:hAnsi="楷体" w:eastAsia="楷体"/>
                <w:b w:val="0"/>
                <w:bCs w:val="0"/>
                <w:color w:val="auto"/>
                <w:u w:val="none"/>
              </w:rPr>
              <w:t>管理人将在每份产品份额对应的开放持有期间受理该笔份额的赎回申请。</w:t>
            </w:r>
          </w:p>
          <w:p>
            <w:pPr>
              <w:rPr>
                <w:rFonts w:hint="eastAsia" w:ascii="楷体" w:hAnsi="楷体" w:eastAsia="楷体"/>
                <w:b w:val="0"/>
                <w:bCs w:val="0"/>
                <w:color w:val="auto"/>
                <w:u w:val="none"/>
              </w:rPr>
            </w:pPr>
            <w:r>
              <w:rPr>
                <w:rFonts w:hint="eastAsia" w:ascii="楷体" w:hAnsi="楷体" w:eastAsia="楷体"/>
                <w:b w:val="0"/>
                <w:bCs w:val="0"/>
                <w:color w:val="auto"/>
                <w:u w:val="none"/>
              </w:rPr>
              <w:t>在理财产品存续期内，管理人有权根据市场情况变化暂停本理财产品的赎回，暂停公告将通过</w:t>
            </w:r>
            <w:r>
              <w:rPr>
                <w:rFonts w:hint="eastAsia" w:ascii="楷体" w:hAnsi="楷体" w:eastAsia="楷体"/>
                <w:b w:val="0"/>
                <w:bCs w:val="0"/>
                <w:color w:val="auto"/>
                <w:u w:val="none"/>
                <w:lang w:eastAsia="zh-CN"/>
              </w:rPr>
              <w:t>《</w:t>
            </w:r>
            <w:r>
              <w:rPr>
                <w:rFonts w:hint="eastAsia" w:ascii="楷体" w:hAnsi="楷体" w:eastAsia="楷体"/>
                <w:b w:val="0"/>
                <w:bCs w:val="0"/>
                <w:color w:val="auto"/>
                <w:u w:val="none"/>
                <w:lang w:val="en-US" w:eastAsia="zh-CN"/>
              </w:rPr>
              <w:t>产品说明书</w:t>
            </w:r>
            <w:r>
              <w:rPr>
                <w:rFonts w:hint="eastAsia" w:ascii="楷体" w:hAnsi="楷体" w:eastAsia="楷体"/>
                <w:b w:val="0"/>
                <w:bCs w:val="0"/>
                <w:color w:val="auto"/>
                <w:u w:val="none"/>
                <w:lang w:eastAsia="zh-CN"/>
              </w:rPr>
              <w:t>》</w:t>
            </w:r>
            <w:r>
              <w:rPr>
                <w:rFonts w:ascii="楷体" w:hAnsi="楷体" w:eastAsia="楷体"/>
                <w:b w:val="0"/>
                <w:bCs w:val="0"/>
                <w:color w:val="auto"/>
                <w:u w:val="none"/>
              </w:rPr>
              <w:t>“</w:t>
            </w:r>
            <w:r>
              <w:rPr>
                <w:rFonts w:hint="eastAsia" w:ascii="楷体" w:hAnsi="楷体" w:eastAsia="楷体"/>
                <w:b w:val="0"/>
                <w:bCs w:val="0"/>
                <w:color w:val="auto"/>
                <w:u w:val="none"/>
              </w:rPr>
              <w:t>信息披露</w:t>
            </w:r>
            <w:r>
              <w:rPr>
                <w:rFonts w:ascii="楷体" w:hAnsi="楷体" w:eastAsia="楷体"/>
                <w:b w:val="0"/>
                <w:bCs w:val="0"/>
                <w:color w:val="auto"/>
                <w:u w:val="none"/>
              </w:rPr>
              <w:t>”</w:t>
            </w:r>
            <w:r>
              <w:rPr>
                <w:rFonts w:hint="eastAsia" w:ascii="楷体" w:hAnsi="楷体" w:eastAsia="楷体"/>
                <w:b w:val="0"/>
                <w:bCs w:val="0"/>
                <w:color w:val="auto"/>
                <w:u w:val="none"/>
              </w:rPr>
              <w:t>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51" w:hRule="atLeast"/>
        </w:trPr>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交易时段</w:t>
            </w:r>
          </w:p>
        </w:tc>
        <w:tc>
          <w:tcPr>
            <w:tcW w:w="6146" w:type="dxa"/>
          </w:tcPr>
          <w:p>
            <w:pPr>
              <w:rPr>
                <w:rFonts w:hint="eastAsia" w:ascii="楷体" w:hAnsi="楷体" w:eastAsia="楷体" w:cs="楷体"/>
                <w:b w:val="0"/>
                <w:bCs w:val="0"/>
                <w:color w:val="auto"/>
                <w:u w:val="none"/>
              </w:rPr>
            </w:pPr>
            <w:r>
              <w:rPr>
                <w:rFonts w:hint="eastAsia" w:ascii="楷体" w:hAnsi="楷体" w:eastAsia="楷体" w:cs="楷体"/>
                <w:b w:val="0"/>
                <w:bCs w:val="0"/>
                <w:color w:val="auto"/>
                <w:u w:val="none"/>
              </w:rPr>
              <w:t>本理财产品交易时段为业务处理系统记录的每日北京时间</w:t>
            </w:r>
            <w:r>
              <w:rPr>
                <w:rFonts w:hint="eastAsia" w:ascii="楷体" w:hAnsi="楷体" w:eastAsia="楷体" w:cs="楷体"/>
                <w:b w:val="0"/>
                <w:bCs w:val="0"/>
                <w:color w:val="auto"/>
                <w:u w:val="none"/>
                <w:lang w:eastAsia="zh-CN"/>
              </w:rPr>
              <w:t>0:00</w:t>
            </w:r>
            <w:r>
              <w:rPr>
                <w:rFonts w:hint="eastAsia" w:ascii="楷体" w:hAnsi="楷体" w:eastAsia="楷体" w:cs="楷体"/>
                <w:b w:val="0"/>
                <w:bCs w:val="0"/>
                <w:color w:val="auto"/>
                <w:u w:val="none"/>
              </w:rPr>
              <w:t>起至</w:t>
            </w:r>
            <w:r>
              <w:rPr>
                <w:rFonts w:hint="eastAsia" w:ascii="楷体" w:hAnsi="楷体" w:eastAsia="楷体" w:cs="楷体"/>
                <w:b w:val="0"/>
                <w:bCs w:val="0"/>
                <w:color w:val="auto"/>
                <w:u w:val="none"/>
                <w:lang w:eastAsia="zh-CN"/>
              </w:rPr>
              <w:t>24:00</w:t>
            </w:r>
            <w:r>
              <w:rPr>
                <w:rFonts w:hint="eastAsia" w:ascii="楷体" w:hAnsi="楷体" w:eastAsia="楷体" w:cs="楷体"/>
                <w:b w:val="0"/>
                <w:bCs w:val="0"/>
                <w:color w:val="auto"/>
                <w:u w:val="none"/>
              </w:rPr>
              <w:t>止（系统清算时间除外），</w:t>
            </w:r>
            <w:r>
              <w:rPr>
                <w:rFonts w:hint="eastAsia" w:ascii="楷体" w:hAnsi="楷体" w:eastAsia="楷体" w:cs="楷体"/>
                <w:b w:val="0"/>
                <w:bCs w:val="0"/>
                <w:color w:val="auto"/>
                <w:szCs w:val="21"/>
                <w:u w:val="none"/>
                <w:lang w:val="en-US" w:eastAsia="zh-CN"/>
              </w:rPr>
              <w:t>销售机构</w:t>
            </w:r>
            <w:r>
              <w:rPr>
                <w:rFonts w:hint="eastAsia" w:ascii="楷体" w:hAnsi="楷体" w:eastAsia="楷体" w:cs="楷体"/>
                <w:b w:val="0"/>
                <w:bCs w:val="0"/>
                <w:color w:val="auto"/>
                <w:szCs w:val="21"/>
                <w:u w:val="none"/>
              </w:rPr>
              <w:t>实际受理申购或赎回的时间可能与说明书不一致，具体以销售机构</w:t>
            </w:r>
            <w:r>
              <w:rPr>
                <w:rFonts w:hint="eastAsia" w:ascii="楷体" w:hAnsi="楷体" w:eastAsia="楷体" w:cs="楷体"/>
                <w:b w:val="0"/>
                <w:bCs w:val="0"/>
                <w:color w:val="auto"/>
                <w:szCs w:val="21"/>
                <w:u w:val="none"/>
                <w:lang w:val="en-US" w:eastAsia="zh-CN"/>
              </w:rPr>
              <w:t>规则</w:t>
            </w:r>
            <w:r>
              <w:rPr>
                <w:rFonts w:hint="eastAsia" w:ascii="楷体" w:hAnsi="楷体" w:eastAsia="楷体" w:cs="楷体"/>
                <w:b w:val="0"/>
                <w:bCs w:val="0"/>
                <w:color w:val="auto"/>
                <w:szCs w:val="21"/>
                <w:u w:val="none"/>
              </w:rPr>
              <w:t>为准</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u w:val="none"/>
              </w:rPr>
              <w:t>具体规则详见</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lang w:val="en-US" w:eastAsia="zh-CN"/>
              </w:rPr>
              <w:t>产品说明书</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rPr>
              <w:t>“产品认购、申购和赎回”。</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rPr>
            </w:pPr>
            <w:r>
              <w:rPr>
                <w:rFonts w:hint="eastAsia" w:ascii="楷体" w:hAnsi="楷体" w:eastAsia="楷体" w:cs="楷体"/>
                <w:b/>
                <w:bCs/>
                <w:szCs w:val="21"/>
                <w:highlight w:val="none"/>
                <w:u w:val="none"/>
              </w:rPr>
              <w:t>产品确认日</w:t>
            </w:r>
          </w:p>
        </w:tc>
        <w:tc>
          <w:tcPr>
            <w:tcW w:w="6146" w:type="dxa"/>
            <w:vAlign w:val="center"/>
          </w:tcPr>
          <w:p>
            <w:pPr>
              <w:rPr>
                <w:rFonts w:hint="eastAsia" w:ascii="楷体" w:hAnsi="楷体" w:eastAsia="楷体" w:cs="楷体"/>
                <w:b w:val="0"/>
                <w:bCs w:val="0"/>
                <w:color w:val="auto"/>
                <w:highlight w:val="none"/>
                <w:u w:val="none"/>
              </w:rPr>
            </w:pPr>
            <w:r>
              <w:rPr>
                <w:rFonts w:hint="eastAsia" w:ascii="楷体" w:hAnsi="楷体" w:eastAsia="楷体" w:cs="楷体"/>
                <w:b w:val="0"/>
                <w:bCs w:val="0"/>
                <w:color w:val="auto"/>
                <w:szCs w:val="21"/>
                <w:highlight w:val="none"/>
                <w:u w:val="none"/>
              </w:rPr>
              <w:t>【在理财产品存续期内，每个【交易日】为产品确认日。】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u w:val="none"/>
              </w:rPr>
            </w:pPr>
            <w:r>
              <w:rPr>
                <w:rFonts w:hint="eastAsia" w:ascii="楷体" w:hAnsi="楷体" w:eastAsia="楷体" w:cs="楷体"/>
                <w:b/>
                <w:bCs/>
                <w:szCs w:val="21"/>
                <w:u w:val="none"/>
              </w:rPr>
              <w:t>产品估值日</w:t>
            </w:r>
          </w:p>
        </w:tc>
        <w:tc>
          <w:tcPr>
            <w:tcW w:w="6146" w:type="dxa"/>
            <w:vAlign w:val="center"/>
          </w:tcPr>
          <w:p>
            <w:pPr>
              <w:widowControl/>
              <w:jc w:val="left"/>
              <w:rPr>
                <w:rFonts w:hint="eastAsia" w:ascii="楷体" w:hAnsi="楷体" w:eastAsia="楷体" w:cs="楷体"/>
                <w:b w:val="0"/>
                <w:bCs w:val="0"/>
                <w:color w:val="auto"/>
                <w:szCs w:val="21"/>
                <w:u w:val="none"/>
              </w:rPr>
            </w:pPr>
            <w:r>
              <w:rPr>
                <w:rFonts w:hint="eastAsia" w:ascii="楷体" w:hAnsi="楷体" w:eastAsia="楷体" w:cs="楷体"/>
                <w:b w:val="0"/>
                <w:bCs w:val="0"/>
                <w:color w:val="auto"/>
                <w:u w:val="none"/>
                <w:lang w:eastAsia="zh-CN"/>
              </w:rPr>
              <w:t>【本理财产品存续期间，每个交易日、理财产品收益分配基准日以及理财产品终止日为估值日】</w:t>
            </w:r>
            <w:r>
              <w:rPr>
                <w:rFonts w:hint="eastAsia" w:ascii="楷体" w:hAnsi="楷体" w:eastAsia="楷体" w:cs="楷体"/>
                <w:b w:val="0"/>
                <w:bCs w:val="0"/>
                <w:color w:val="auto"/>
                <w:szCs w:val="21"/>
                <w:highlight w:val="none"/>
                <w:u w:val="none"/>
              </w:rPr>
              <w:t>。</w:t>
            </w:r>
            <w:r>
              <w:rPr>
                <w:rFonts w:hint="eastAsia" w:ascii="楷体" w:hAnsi="楷体" w:eastAsia="楷体" w:cs="楷体"/>
                <w:b w:val="0"/>
                <w:bCs w:val="0"/>
                <w:color w:val="auto"/>
                <w:u w:val="none"/>
              </w:rPr>
              <w:t>管理人在估值日扣除理财产品承担的各项费用、税费（如有）后，计算理财产品</w:t>
            </w:r>
            <w:r>
              <w:rPr>
                <w:rFonts w:hint="eastAsia" w:ascii="楷体" w:hAnsi="楷体" w:eastAsia="楷体" w:cs="楷体"/>
                <w:b w:val="0"/>
                <w:bCs w:val="0"/>
                <w:color w:val="auto"/>
                <w:u w:val="none"/>
                <w:lang w:val="en-US" w:eastAsia="zh-CN"/>
              </w:rPr>
              <w:t>份额</w:t>
            </w:r>
            <w:r>
              <w:rPr>
                <w:rFonts w:hint="eastAsia" w:ascii="楷体" w:hAnsi="楷体" w:eastAsia="楷体" w:cs="楷体"/>
                <w:b w:val="0"/>
                <w:bCs w:val="0"/>
                <w:color w:val="auto"/>
                <w:u w:val="none"/>
              </w:rPr>
              <w:t>净值</w:t>
            </w:r>
            <w:r>
              <w:rPr>
                <w:rFonts w:hint="eastAsia" w:ascii="楷体" w:hAnsi="楷体" w:eastAsia="楷体" w:cs="楷体"/>
                <w:b w:val="0"/>
                <w:bCs w:val="0"/>
                <w:color w:val="auto"/>
                <w:u w:val="none"/>
                <w:lang w:val="en-US" w:eastAsia="zh-CN"/>
              </w:rPr>
              <w:t>和</w:t>
            </w:r>
            <w:r>
              <w:rPr>
                <w:rFonts w:hint="eastAsia" w:ascii="楷体" w:hAnsi="楷体" w:eastAsia="楷体" w:cs="楷体"/>
                <w:b w:val="0"/>
                <w:bCs w:val="0"/>
                <w:color w:val="auto"/>
                <w:szCs w:val="21"/>
                <w:u w:val="none"/>
                <w:lang w:val="en-US" w:eastAsia="zh-CN"/>
              </w:rPr>
              <w:t>理财产品份额累计净值</w:t>
            </w:r>
            <w:r>
              <w:rPr>
                <w:rFonts w:hint="eastAsia" w:ascii="楷体" w:hAnsi="楷体" w:eastAsia="楷体" w:cs="楷体"/>
                <w:b w:val="0"/>
                <w:bCs w:val="0"/>
                <w:color w:val="auto"/>
                <w:u w:val="none"/>
              </w:rPr>
              <w:t>，并于估值日后</w:t>
            </w:r>
            <w:r>
              <w:rPr>
                <w:rFonts w:hint="eastAsia" w:ascii="楷体" w:hAnsi="楷体" w:eastAsia="楷体" w:cs="楷体"/>
                <w:b w:val="0"/>
                <w:bCs w:val="0"/>
                <w:color w:val="auto"/>
                <w:highlight w:val="none"/>
                <w:u w:val="none"/>
                <w:lang w:val="en-US" w:eastAsia="zh-CN"/>
              </w:rPr>
              <w:t>2个工作日</w:t>
            </w:r>
            <w:r>
              <w:rPr>
                <w:rFonts w:hint="eastAsia" w:ascii="楷体" w:hAnsi="楷体" w:eastAsia="楷体" w:cs="楷体"/>
                <w:b w:val="0"/>
                <w:bCs w:val="0"/>
                <w:color w:val="auto"/>
                <w:u w:val="none"/>
              </w:rPr>
              <w:t>内通过“信息披露”约定的渠道发布。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u w:val="none"/>
              </w:rPr>
            </w:pPr>
            <w:r>
              <w:rPr>
                <w:rFonts w:hint="eastAsia" w:ascii="楷体" w:hAnsi="楷体" w:eastAsia="楷体" w:cs="楷体"/>
                <w:b/>
                <w:bCs/>
                <w:szCs w:val="21"/>
                <w:u w:val="none"/>
                <w:lang w:val="en-US" w:eastAsia="zh-CN"/>
              </w:rPr>
              <w:t>理财</w:t>
            </w:r>
            <w:r>
              <w:rPr>
                <w:rFonts w:hint="eastAsia" w:ascii="楷体" w:hAnsi="楷体" w:eastAsia="楷体" w:cs="楷体"/>
                <w:b/>
                <w:bCs/>
                <w:color w:val="auto"/>
                <w:szCs w:val="21"/>
                <w:u w:val="none"/>
              </w:rPr>
              <w:t>产品</w:t>
            </w:r>
            <w:r>
              <w:rPr>
                <w:rFonts w:hint="eastAsia" w:ascii="楷体" w:hAnsi="楷体" w:eastAsia="楷体" w:cs="楷体"/>
                <w:b/>
                <w:bCs/>
                <w:color w:val="auto"/>
                <w:szCs w:val="21"/>
                <w:u w:val="none"/>
                <w:lang w:val="en-US" w:eastAsia="zh-CN"/>
              </w:rPr>
              <w:t>份额</w:t>
            </w:r>
            <w:r>
              <w:rPr>
                <w:rFonts w:hint="eastAsia" w:ascii="楷体" w:hAnsi="楷体" w:eastAsia="楷体" w:cs="楷体"/>
                <w:b/>
                <w:bCs/>
                <w:color w:val="auto"/>
                <w:szCs w:val="21"/>
                <w:u w:val="none"/>
              </w:rPr>
              <w:t>净值</w:t>
            </w:r>
          </w:p>
        </w:tc>
        <w:tc>
          <w:tcPr>
            <w:tcW w:w="6146" w:type="dxa"/>
            <w:vAlign w:val="center"/>
          </w:tcPr>
          <w:p>
            <w:pPr>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理财产品份额</w:t>
            </w:r>
            <w:r>
              <w:rPr>
                <w:rFonts w:hint="eastAsia" w:ascii="楷体" w:hAnsi="楷体" w:eastAsia="楷体" w:cs="楷体"/>
                <w:b w:val="0"/>
                <w:bCs w:val="0"/>
                <w:color w:val="auto"/>
                <w:szCs w:val="21"/>
                <w:u w:val="none"/>
              </w:rPr>
              <w:t>净值为计提相关费用后的单位理财产品的净值，按去尾法保留小数点后</w:t>
            </w:r>
            <w:r>
              <w:rPr>
                <w:rFonts w:hint="eastAsia" w:ascii="楷体" w:hAnsi="楷体" w:eastAsia="楷体" w:cs="楷体"/>
                <w:b w:val="0"/>
                <w:bCs w:val="0"/>
                <w:color w:val="auto"/>
                <w:szCs w:val="21"/>
                <w:u w:val="none"/>
                <w:lang w:val="en-US"/>
              </w:rPr>
              <w:t>五</w:t>
            </w:r>
            <w:r>
              <w:rPr>
                <w:rFonts w:hint="eastAsia" w:ascii="楷体" w:hAnsi="楷体" w:eastAsia="楷体" w:cs="楷体"/>
                <w:b w:val="0"/>
                <w:bCs w:val="0"/>
                <w:color w:val="auto"/>
                <w:szCs w:val="21"/>
                <w:u w:val="none"/>
              </w:rPr>
              <w:t>位，管理人按照该净值对产品的申购、赎回和产品终止时的分配进行确认。管理人有权对以上净值计提方式进行修改，并通过</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产品说明书</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“信息披露”约定的方式，向投资者披露。</w:t>
            </w:r>
          </w:p>
          <w:p>
            <w:pPr>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产品初始</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净值为1元/份。</w:t>
            </w:r>
          </w:p>
          <w:p>
            <w:pPr>
              <w:rPr>
                <w:rFonts w:hint="eastAsia" w:ascii="楷体" w:hAnsi="楷体" w:eastAsia="楷体" w:cs="楷体"/>
                <w:b w:val="0"/>
                <w:bCs w:val="0"/>
                <w:color w:val="auto"/>
                <w:u w:val="none"/>
              </w:rPr>
            </w:pPr>
            <w:r>
              <w:rPr>
                <w:rFonts w:hint="eastAsia" w:ascii="楷体" w:hAnsi="楷体" w:eastAsia="楷体" w:cs="楷体"/>
                <w:b w:val="0"/>
                <w:bCs w:val="0"/>
                <w:color w:val="auto"/>
                <w:szCs w:val="21"/>
                <w:u w:val="none"/>
              </w:rPr>
              <w:t>产品的申购、赎回遵循“未知价”原则，即本理财产品申购和赎回价格为对应确认日</w:t>
            </w:r>
            <w:r>
              <w:rPr>
                <w:rFonts w:hint="eastAsia" w:ascii="楷体" w:hAnsi="楷体" w:eastAsia="楷体" w:cs="楷体"/>
                <w:b w:val="0"/>
                <w:bCs w:val="0"/>
                <w:color w:val="auto"/>
                <w:szCs w:val="21"/>
                <w:u w:val="none"/>
                <w:lang w:val="en-US" w:eastAsia="zh-CN"/>
              </w:rPr>
              <w:t>前【1】个【交易日】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购买规则</w:t>
            </w:r>
          </w:p>
        </w:tc>
        <w:tc>
          <w:tcPr>
            <w:tcW w:w="6146" w:type="dxa"/>
            <w:vAlign w:val="top"/>
          </w:tcPr>
          <w:p>
            <w:pPr>
              <w:numPr>
                <w:ilvl w:val="12"/>
                <w:numId w:val="0"/>
              </w:num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适用</w:t>
            </w:r>
            <w:r>
              <w:rPr>
                <w:rFonts w:hint="eastAsia" w:ascii="楷体" w:hAnsi="楷体" w:eastAsia="楷体" w:cs="楷体"/>
                <w:b w:val="0"/>
                <w:bCs w:val="0"/>
                <w:color w:val="auto"/>
                <w:u w:val="none"/>
                <w:lang w:eastAsia="zh-CN"/>
              </w:rPr>
              <w:t>【B】</w:t>
            </w:r>
            <w:r>
              <w:rPr>
                <w:rFonts w:hint="eastAsia" w:ascii="楷体" w:hAnsi="楷体" w:eastAsia="楷体" w:cs="楷体"/>
                <w:b w:val="0"/>
                <w:bCs w:val="0"/>
                <w:color w:val="auto"/>
                <w:szCs w:val="21"/>
                <w:u w:val="none"/>
                <w:lang w:val="en-US" w:eastAsia="zh-CN"/>
              </w:rPr>
              <w:t>类份额</w:t>
            </w:r>
            <w:r>
              <w:rPr>
                <w:rFonts w:hint="eastAsia" w:ascii="楷体" w:hAnsi="楷体" w:eastAsia="楷体" w:cs="楷体"/>
                <w:b w:val="0"/>
                <w:bCs w:val="0"/>
                <w:color w:val="auto"/>
                <w:szCs w:val="21"/>
                <w:u w:val="none"/>
                <w:lang w:eastAsia="zh-CN"/>
              </w:rPr>
              <w:t>）</w:t>
            </w:r>
          </w:p>
          <w:p>
            <w:pPr>
              <w:numPr>
                <w:ilvl w:val="0"/>
                <w:numId w:val="2"/>
              </w:numPr>
              <w:tabs>
                <w:tab w:val="left" w:pos="360"/>
              </w:tabs>
              <w:rPr>
                <w:rFonts w:hint="eastAsia" w:ascii="楷体" w:hAnsi="楷体" w:eastAsia="楷体" w:cs="楷体"/>
                <w:b w:val="0"/>
                <w:bCs w:val="0"/>
                <w:color w:val="auto"/>
                <w:u w:val="none"/>
                <w:lang w:eastAsia="zh-CN"/>
              </w:rPr>
            </w:pPr>
            <w:r>
              <w:rPr>
                <w:rFonts w:hint="eastAsia" w:ascii="楷体" w:hAnsi="楷体" w:eastAsia="楷体" w:cs="楷体"/>
                <w:b w:val="0"/>
                <w:bCs w:val="0"/>
                <w:color w:val="auto"/>
                <w:u w:val="none"/>
              </w:rPr>
              <w:t>本理财产品购买顺序按时间优先原则进行确认</w:t>
            </w:r>
            <w:r>
              <w:rPr>
                <w:rFonts w:hint="eastAsia" w:ascii="楷体" w:hAnsi="楷体" w:eastAsia="楷体" w:cs="楷体"/>
                <w:b w:val="0"/>
                <w:bCs w:val="0"/>
                <w:color w:val="auto"/>
                <w:u w:val="none"/>
                <w:lang w:eastAsia="zh-CN"/>
              </w:rPr>
              <w:t>。</w:t>
            </w:r>
          </w:p>
          <w:p>
            <w:pPr>
              <w:numPr>
                <w:ilvl w:val="0"/>
                <w:numId w:val="2"/>
              </w:num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本理财产品</w:t>
            </w:r>
            <w:r>
              <w:rPr>
                <w:rFonts w:hint="eastAsia" w:ascii="楷体" w:hAnsi="楷体" w:eastAsia="楷体" w:cs="楷体"/>
                <w:b w:val="0"/>
                <w:bCs w:val="0"/>
                <w:color w:val="auto"/>
                <w:u w:val="none"/>
              </w:rPr>
              <w:t>客户首次购买的最低金额为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，超出部分应为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的整数倍。最低追加申购金额为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，超出部分应为</w:t>
            </w:r>
            <w:r>
              <w:rPr>
                <w:rFonts w:hint="eastAsia" w:ascii="楷体" w:hAnsi="楷体" w:eastAsia="楷体" w:cs="楷体"/>
                <w:b w:val="0"/>
                <w:bCs w:val="0"/>
                <w:color w:val="auto"/>
                <w:u w:val="none"/>
                <w:lang w:eastAsia="zh-CN"/>
              </w:rPr>
              <w:t>【1.00元】</w:t>
            </w:r>
            <w:r>
              <w:rPr>
                <w:rFonts w:hint="eastAsia" w:ascii="楷体" w:hAnsi="楷体" w:eastAsia="楷体" w:cs="楷体"/>
                <w:b w:val="0"/>
                <w:bCs w:val="0"/>
                <w:color w:val="auto"/>
                <w:u w:val="none"/>
              </w:rPr>
              <w:t>的整数倍。</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注：关于代理销售机构的实际销售起点金额的提示。</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（1）本理财产品在代理销售机构的实际销售起点金额，因代理销售机构的不同可能存在差异（可能高于销售文件约定的销售起点金额），应当以代理销售机构展示为准。</w:t>
            </w:r>
          </w:p>
          <w:p>
            <w:pPr>
              <w:numPr>
                <w:ilvl w:val="0"/>
                <w:numId w:val="0"/>
              </w:numPr>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（2）代理销售机构的实际销售起点金额，不得低于销售文件约定的销售起点金额。</w:t>
            </w:r>
          </w:p>
          <w:p>
            <w:p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3</w:t>
            </w:r>
            <w:r>
              <w:rPr>
                <w:rFonts w:hint="eastAsia" w:ascii="楷体" w:hAnsi="楷体" w:eastAsia="楷体" w:cs="楷体"/>
                <w:b w:val="0"/>
                <w:bCs w:val="0"/>
                <w:color w:val="auto"/>
                <w:u w:val="none"/>
              </w:rPr>
              <w:t>、本理财产品单户最低持有份额为</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u w:val="none"/>
              </w:rPr>
              <w:t>（因产品</w:t>
            </w:r>
            <w:r>
              <w:rPr>
                <w:rFonts w:hint="eastAsia" w:ascii="楷体" w:hAnsi="楷体" w:eastAsia="楷体" w:cs="楷体"/>
                <w:b w:val="0"/>
                <w:bCs w:val="0"/>
                <w:color w:val="auto"/>
                <w:u w:val="none"/>
                <w:lang w:val="en-US" w:eastAsia="zh-CN"/>
              </w:rPr>
              <w:t>份额</w:t>
            </w:r>
            <w:r>
              <w:rPr>
                <w:rFonts w:hint="eastAsia" w:ascii="楷体" w:hAnsi="楷体" w:eastAsia="楷体" w:cs="楷体"/>
                <w:b w:val="0"/>
                <w:bCs w:val="0"/>
                <w:color w:val="auto"/>
                <w:u w:val="none"/>
              </w:rPr>
              <w:t>净值变化导致的情况除外）。</w:t>
            </w:r>
          </w:p>
          <w:p>
            <w:pPr>
              <w:tabs>
                <w:tab w:val="left" w:pos="360"/>
              </w:tabs>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highlight w:val="none"/>
                <w:u w:val="none"/>
                <w:lang w:val="en-US" w:eastAsia="zh-CN"/>
              </w:rPr>
              <w:t>4</w:t>
            </w:r>
            <w:r>
              <w:rPr>
                <w:rFonts w:hint="eastAsia" w:ascii="楷体" w:hAnsi="楷体" w:eastAsia="楷体" w:cs="楷体"/>
                <w:b w:val="0"/>
                <w:bCs w:val="0"/>
                <w:color w:val="auto"/>
                <w:highlight w:val="none"/>
                <w:u w:val="none"/>
              </w:rPr>
              <w:t>、</w:t>
            </w:r>
            <w:r>
              <w:rPr>
                <w:rFonts w:hint="eastAsia" w:ascii="楷体" w:hAnsi="楷体" w:eastAsia="楷体" w:cs="楷体"/>
                <w:b w:val="0"/>
                <w:bCs w:val="0"/>
                <w:color w:val="auto"/>
                <w:szCs w:val="21"/>
                <w:highlight w:val="none"/>
                <w:u w:val="none"/>
              </w:rPr>
              <w:t>单户累计最大购买金额为</w:t>
            </w:r>
            <w:r>
              <w:rPr>
                <w:rFonts w:hint="eastAsia" w:ascii="楷体" w:hAnsi="楷体" w:eastAsia="楷体" w:cs="楷体"/>
                <w:b w:val="0"/>
                <w:bCs w:val="0"/>
                <w:color w:val="auto"/>
                <w:szCs w:val="21"/>
                <w:highlight w:val="none"/>
                <w:u w:val="none"/>
                <w:lang w:eastAsia="zh-CN"/>
              </w:rPr>
              <w:t>【25.00万元】。</w:t>
            </w:r>
          </w:p>
          <w:p>
            <w:pPr>
              <w:tabs>
                <w:tab w:val="left" w:pos="360"/>
              </w:tabs>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highlight w:val="none"/>
                <w:u w:val="none"/>
                <w:lang w:val="en-US" w:eastAsia="zh-CN"/>
              </w:rPr>
              <w:t>注：本产品单一投资者持有份额不得超过产品总份额50%。</w:t>
            </w:r>
          </w:p>
          <w:p>
            <w:pPr>
              <w:tabs>
                <w:tab w:val="left" w:pos="360"/>
              </w:tabs>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highlight w:val="none"/>
                <w:u w:val="none"/>
                <w:lang w:val="en-US" w:eastAsia="zh-CN"/>
              </w:rPr>
              <w:t>（1）投资者认购或申购确认后可能导致其持有份额超过产品总份额50%的，管理人有权拒绝或暂停认购、申购。</w:t>
            </w:r>
          </w:p>
          <w:p>
            <w:pPr>
              <w:tabs>
                <w:tab w:val="left" w:pos="360"/>
              </w:tabs>
              <w:rPr>
                <w:rFonts w:hint="eastAsia" w:ascii="楷体" w:hAnsi="楷体" w:eastAsia="楷体" w:cs="楷体"/>
                <w:b w:val="0"/>
                <w:bCs w:val="0"/>
                <w:color w:val="auto"/>
                <w:u w:val="none"/>
              </w:rPr>
            </w:pPr>
            <w:r>
              <w:rPr>
                <w:rFonts w:hint="eastAsia" w:ascii="楷体" w:hAnsi="楷体" w:eastAsia="楷体" w:cs="楷体"/>
                <w:b w:val="0"/>
                <w:bCs w:val="0"/>
                <w:color w:val="auto"/>
                <w:szCs w:val="21"/>
                <w:highlight w:val="none"/>
                <w:u w:val="none"/>
                <w:lang w:val="en-US" w:eastAsia="zh-CN"/>
              </w:rPr>
              <w:t>（2）非因管理人主观因素导致突破该比例限制的，在单一投资者持有比例降至50%以下之前，管理人不再接受该投资者对本产品的认购、申购申请。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赎回规则</w:t>
            </w:r>
          </w:p>
        </w:tc>
        <w:tc>
          <w:tcPr>
            <w:tcW w:w="6146" w:type="dxa"/>
            <w:vAlign w:val="top"/>
          </w:tcPr>
          <w:p>
            <w:pPr>
              <w:numPr>
                <w:ilvl w:val="0"/>
                <w:numId w:val="0"/>
              </w:numPr>
              <w:rPr>
                <w:rFonts w:hint="eastAsia" w:ascii="楷体" w:hAnsi="楷体" w:eastAsia="楷体" w:cs="楷体"/>
                <w:b w:val="0"/>
                <w:bCs w:val="0"/>
                <w:color w:val="auto"/>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适用</w:t>
            </w:r>
            <w:r>
              <w:rPr>
                <w:rFonts w:hint="eastAsia" w:ascii="楷体" w:hAnsi="楷体" w:eastAsia="楷体" w:cs="楷体"/>
                <w:b w:val="0"/>
                <w:bCs w:val="0"/>
                <w:color w:val="auto"/>
                <w:u w:val="none"/>
                <w:lang w:eastAsia="zh-CN"/>
              </w:rPr>
              <w:t>【B】</w:t>
            </w:r>
            <w:r>
              <w:rPr>
                <w:rFonts w:hint="eastAsia" w:ascii="楷体" w:hAnsi="楷体" w:eastAsia="楷体" w:cs="楷体"/>
                <w:b w:val="0"/>
                <w:bCs w:val="0"/>
                <w:color w:val="auto"/>
                <w:szCs w:val="21"/>
                <w:u w:val="none"/>
                <w:lang w:val="en-US" w:eastAsia="zh-CN"/>
              </w:rPr>
              <w:t>类份额</w:t>
            </w:r>
            <w:r>
              <w:rPr>
                <w:rFonts w:hint="eastAsia" w:ascii="楷体" w:hAnsi="楷体" w:eastAsia="楷体" w:cs="楷体"/>
                <w:b w:val="0"/>
                <w:bCs w:val="0"/>
                <w:color w:val="auto"/>
                <w:szCs w:val="21"/>
                <w:u w:val="none"/>
                <w:lang w:eastAsia="zh-CN"/>
              </w:rPr>
              <w:t>）</w:t>
            </w:r>
          </w:p>
          <w:p>
            <w:pPr>
              <w:numPr>
                <w:ilvl w:val="0"/>
                <w:numId w:val="3"/>
              </w:numPr>
              <w:rPr>
                <w:rFonts w:hint="eastAsia" w:ascii="楷体" w:hAnsi="楷体" w:eastAsia="楷体" w:cs="楷体"/>
                <w:b w:val="0"/>
                <w:bCs/>
                <w:color w:val="auto"/>
                <w:u w:val="none"/>
              </w:rPr>
            </w:pPr>
            <w:r>
              <w:rPr>
                <w:rFonts w:hint="eastAsia" w:ascii="楷体" w:hAnsi="楷体" w:eastAsia="楷体" w:cs="楷体"/>
                <w:b w:val="0"/>
                <w:bCs w:val="0"/>
                <w:color w:val="auto"/>
                <w:u w:val="none"/>
              </w:rPr>
              <w:t>本理财产品</w:t>
            </w:r>
            <w:r>
              <w:rPr>
                <w:rFonts w:hint="eastAsia" w:ascii="楷体" w:hAnsi="楷体" w:eastAsia="楷体" w:cs="楷体"/>
                <w:b w:val="0"/>
                <w:bCs w:val="0"/>
                <w:color w:val="auto"/>
                <w:u w:val="none"/>
                <w:lang w:val="en-US" w:eastAsia="zh-CN"/>
              </w:rPr>
              <w:t>客户</w:t>
            </w:r>
            <w:r>
              <w:rPr>
                <w:rFonts w:hint="eastAsia" w:ascii="楷体" w:hAnsi="楷体" w:eastAsia="楷体" w:cs="楷体"/>
                <w:b w:val="0"/>
                <w:bCs w:val="0"/>
                <w:color w:val="auto"/>
                <w:u w:val="none"/>
              </w:rPr>
              <w:t>赎回最低份额为</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u w:val="none"/>
              </w:rPr>
              <w:t>，超出部分应为</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u w:val="none"/>
              </w:rPr>
              <w:t>的整数倍，全额赎回除外。</w:t>
            </w:r>
            <w:r>
              <w:rPr>
                <w:rFonts w:hint="eastAsia" w:ascii="楷体" w:hAnsi="楷体" w:eastAsia="楷体" w:cs="楷体"/>
                <w:b w:val="0"/>
                <w:bCs w:val="0"/>
                <w:color w:val="auto"/>
                <w:u w:val="none"/>
                <w:lang w:val="en-US" w:eastAsia="zh-CN"/>
              </w:rPr>
              <w:t>投资者通过代理销售机构购买理财产品的，按照代理销售机构对于交易赎回设置的相关规定执行。</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在每笔产品份额对应的开放持有期内，投资者可以根据本产品赎回规则申请赎回该笔份额，详见</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lang w:val="en-US" w:eastAsia="zh-CN"/>
              </w:rPr>
              <w:t>产品说明书</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u w:val="none"/>
              </w:rPr>
              <w:t>“产品认购、申购和赎回”。</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如投资者赎回申请为部分赎回的，则优先赎回最早认/申购的产品份额。</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如投资者所持份额中，可赎回份额低于赎回申请的份额时，管理人有权拒绝该笔赎回申请。</w:t>
            </w:r>
          </w:p>
          <w:p>
            <w:pPr>
              <w:numPr>
                <w:ilvl w:val="0"/>
                <w:numId w:val="3"/>
              </w:numPr>
              <w:rPr>
                <w:rFonts w:hint="eastAsia" w:ascii="楷体" w:hAnsi="楷体" w:eastAsia="楷体" w:cs="楷体"/>
                <w:b w:val="0"/>
                <w:bCs w:val="0"/>
                <w:color w:val="auto"/>
                <w:u w:val="none"/>
              </w:rPr>
            </w:pPr>
            <w:r>
              <w:rPr>
                <w:rFonts w:hint="eastAsia" w:ascii="楷体" w:hAnsi="楷体" w:eastAsia="楷体" w:cs="楷体"/>
                <w:b w:val="0"/>
                <w:bCs w:val="0"/>
                <w:color w:val="auto"/>
                <w:u w:val="none"/>
              </w:rPr>
              <w:t>管理人有权拒绝将导致客户持有份额低于单户最低持有份额的赎回申请。</w:t>
            </w:r>
          </w:p>
          <w:p>
            <w:pPr>
              <w:tabs>
                <w:tab w:val="center" w:pos="2965"/>
              </w:tabs>
              <w:rPr>
                <w:rFonts w:hint="eastAsia" w:ascii="楷体" w:hAnsi="楷体" w:eastAsia="楷体" w:cs="楷体"/>
                <w:b w:val="0"/>
                <w:bCs w:val="0"/>
                <w:color w:val="auto"/>
                <w:u w:val="none"/>
              </w:rPr>
            </w:pPr>
            <w:r>
              <w:rPr>
                <w:rFonts w:hint="eastAsia" w:ascii="楷体" w:hAnsi="楷体" w:eastAsia="楷体" w:cs="楷体"/>
                <w:b w:val="0"/>
                <w:bCs w:val="0"/>
                <w:color w:val="auto"/>
                <w:u w:val="none"/>
              </w:rPr>
              <w:t>6、如本产品连</w:t>
            </w:r>
            <w:r>
              <w:rPr>
                <w:rFonts w:hint="eastAsia" w:ascii="楷体" w:hAnsi="楷体" w:eastAsia="楷体" w:cs="楷体"/>
                <w:b w:val="0"/>
                <w:bCs w:val="0"/>
                <w:color w:val="auto"/>
                <w:highlight w:val="none"/>
                <w:u w:val="none"/>
              </w:rPr>
              <w:t>续三个</w:t>
            </w:r>
            <w:r>
              <w:rPr>
                <w:rFonts w:hint="eastAsia" w:ascii="楷体" w:hAnsi="楷体" w:eastAsia="楷体" w:cs="楷体"/>
                <w:b w:val="0"/>
                <w:bCs w:val="0"/>
                <w:color w:val="auto"/>
                <w:highlight w:val="none"/>
                <w:u w:val="none"/>
                <w:lang w:val="en-US" w:eastAsia="zh-CN"/>
              </w:rPr>
              <w:t>开放日</w:t>
            </w:r>
            <w:r>
              <w:rPr>
                <w:rFonts w:hint="eastAsia" w:ascii="楷体" w:hAnsi="楷体" w:eastAsia="楷体" w:cs="楷体"/>
                <w:b w:val="0"/>
                <w:bCs w:val="0"/>
                <w:color w:val="auto"/>
                <w:highlight w:val="none"/>
                <w:u w:val="none"/>
              </w:rPr>
              <w:t>累计净赎回总份额达到产品份额的20%以上，管理人有权暂不接受赎回</w:t>
            </w:r>
            <w:r>
              <w:rPr>
                <w:rFonts w:hint="eastAsia" w:ascii="楷体" w:hAnsi="楷体" w:eastAsia="楷体" w:cs="楷体"/>
                <w:b w:val="0"/>
                <w:bCs w:val="0"/>
                <w:color w:val="auto"/>
                <w:u w:val="none"/>
              </w:rPr>
              <w:t>申请或按比例接受赎回申请。</w:t>
            </w:r>
          </w:p>
          <w:p>
            <w:pPr>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u w:val="none"/>
              </w:rPr>
              <w:t>7、</w:t>
            </w:r>
            <w:r>
              <w:rPr>
                <w:rFonts w:hint="eastAsia" w:ascii="楷体" w:hAnsi="楷体" w:eastAsia="楷体" w:cs="楷体"/>
                <w:b w:val="0"/>
                <w:bCs w:val="0"/>
                <w:color w:val="auto"/>
                <w:szCs w:val="21"/>
                <w:u w:val="none"/>
              </w:rPr>
              <w:t>开放式理财产品在前一估值日内，产品资产净值50%以上的资产不具备活跃交易市场或者在活跃市场中无报价，且不能采用估值技术可靠计量公允价值的，管理人有权暂停该产品估值，并采取延缓支付赎回款项或暂停接受理财产品申购、赎回申请等措施。</w:t>
            </w:r>
          </w:p>
          <w:p>
            <w:pPr>
              <w:tabs>
                <w:tab w:val="center" w:pos="2965"/>
              </w:tabs>
              <w:rPr>
                <w:rFonts w:hint="eastAsia" w:ascii="楷体" w:hAnsi="楷体" w:eastAsia="楷体" w:cs="楷体"/>
                <w:b w:val="0"/>
                <w:bCs w:val="0"/>
                <w:color w:val="auto"/>
                <w:u w:val="none"/>
              </w:rPr>
            </w:pPr>
            <w:r>
              <w:rPr>
                <w:rFonts w:hint="eastAsia" w:ascii="楷体" w:hAnsi="楷体" w:eastAsia="楷体" w:cs="楷体"/>
                <w:b w:val="0"/>
                <w:bCs w:val="0"/>
                <w:color w:val="auto"/>
                <w:u w:val="none"/>
              </w:rPr>
              <w:t>8、产品赎回顺序按时间优先原则进行确认。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u w:val="none"/>
              </w:rPr>
              <w:t>巨额赎回</w:t>
            </w:r>
          </w:p>
        </w:tc>
        <w:tc>
          <w:tcPr>
            <w:tcW w:w="6146" w:type="dxa"/>
            <w:vAlign w:val="top"/>
          </w:tcPr>
          <w:p>
            <w:pPr>
              <w:tabs>
                <w:tab w:val="center" w:pos="2965"/>
              </w:tabs>
              <w:rPr>
                <w:rFonts w:hint="eastAsia" w:ascii="楷体" w:hAnsi="楷体" w:eastAsia="楷体" w:cs="楷体"/>
                <w:b w:val="0"/>
                <w:bCs w:val="0"/>
                <w:u w:val="none"/>
              </w:rPr>
            </w:pPr>
            <w:r>
              <w:rPr>
                <w:rFonts w:hint="eastAsia" w:ascii="楷体" w:hAnsi="楷体" w:eastAsia="楷体" w:cs="楷体"/>
                <w:b w:val="0"/>
                <w:bCs w:val="0"/>
                <w:u w:val="none"/>
              </w:rPr>
              <w:t>投资者可于最短持有期届满后的开放日向销售机构提出赎回申请，若理财产品任一开放日净赎回</w:t>
            </w:r>
            <w:r>
              <w:rPr>
                <w:rFonts w:hint="eastAsia" w:ascii="楷体" w:hAnsi="楷体" w:eastAsia="楷体" w:cs="楷体"/>
                <w:b w:val="0"/>
                <w:bCs w:val="0"/>
                <w:u w:val="none"/>
                <w:lang w:val="en-US" w:eastAsia="zh-CN"/>
              </w:rPr>
              <w:t>申请</w:t>
            </w:r>
            <w:r>
              <w:rPr>
                <w:rFonts w:hint="eastAsia" w:ascii="楷体" w:hAnsi="楷体" w:eastAsia="楷体" w:cs="楷体"/>
                <w:b w:val="0"/>
                <w:bCs w:val="0"/>
                <w:u w:val="none"/>
              </w:rPr>
              <w:t>份额（赎回申请份额总数扣除申购申请份额总数）超过</w:t>
            </w:r>
            <w:r>
              <w:rPr>
                <w:rFonts w:hint="eastAsia" w:ascii="楷体" w:hAnsi="楷体" w:eastAsia="楷体" w:cs="楷体"/>
                <w:b w:val="0"/>
                <w:bCs w:val="0"/>
                <w:color w:val="auto"/>
                <w:u w:val="none"/>
              </w:rPr>
              <w:t>本理财产品上一</w:t>
            </w:r>
            <w:r>
              <w:rPr>
                <w:rFonts w:hint="eastAsia" w:ascii="楷体" w:hAnsi="楷体" w:eastAsia="楷体" w:cs="楷体"/>
                <w:b w:val="0"/>
                <w:bCs w:val="0"/>
                <w:color w:val="auto"/>
                <w:u w:val="none"/>
                <w:lang w:eastAsia="zh-CN"/>
              </w:rPr>
              <w:t>【交易日】</w:t>
            </w:r>
            <w:r>
              <w:rPr>
                <w:rFonts w:hint="eastAsia" w:ascii="楷体" w:hAnsi="楷体" w:eastAsia="楷体" w:cs="楷体"/>
                <w:b w:val="0"/>
                <w:bCs w:val="0"/>
                <w:color w:val="auto"/>
                <w:u w:val="none"/>
              </w:rPr>
              <w:t>日终份额的10%时，即为发生巨额赎回。</w:t>
            </w:r>
            <w:r>
              <w:rPr>
                <w:rFonts w:hint="eastAsia" w:ascii="楷体" w:hAnsi="楷体" w:eastAsia="楷体" w:cs="楷体"/>
                <w:b/>
                <w:bCs/>
                <w:color w:val="auto"/>
                <w:u w:val="none"/>
              </w:rPr>
              <w:t>在发生巨</w:t>
            </w:r>
            <w:r>
              <w:rPr>
                <w:rFonts w:hint="eastAsia" w:ascii="楷体" w:hAnsi="楷体" w:eastAsia="楷体" w:cs="楷体"/>
                <w:b/>
                <w:bCs/>
                <w:u w:val="none"/>
              </w:rPr>
              <w:t>额赎回时，管理人有权依照理财产品当时的资产组合状况选择全额赎回、部分赎回或延缓支付。</w:t>
            </w:r>
            <w:r>
              <w:rPr>
                <w:rFonts w:hint="eastAsia" w:ascii="楷体" w:hAnsi="楷体" w:eastAsia="楷体" w:cs="楷体"/>
                <w:b w:val="0"/>
                <w:bCs w:val="0"/>
                <w:szCs w:val="24"/>
                <w:u w:val="none"/>
              </w:rPr>
              <w:t>详细内容见</w:t>
            </w:r>
            <w:r>
              <w:rPr>
                <w:rFonts w:hint="eastAsia" w:ascii="楷体" w:hAnsi="楷体" w:eastAsia="楷体" w:cs="楷体"/>
                <w:b w:val="0"/>
                <w:bCs w:val="0"/>
                <w:szCs w:val="24"/>
                <w:u w:val="none"/>
                <w:lang w:eastAsia="zh-CN"/>
              </w:rPr>
              <w:t>《</w:t>
            </w:r>
            <w:r>
              <w:rPr>
                <w:rFonts w:hint="eastAsia" w:ascii="楷体" w:hAnsi="楷体" w:eastAsia="楷体" w:cs="楷体"/>
                <w:b w:val="0"/>
                <w:bCs w:val="0"/>
                <w:szCs w:val="24"/>
                <w:u w:val="none"/>
                <w:lang w:val="en-US" w:eastAsia="zh-CN"/>
              </w:rPr>
              <w:t>产品说明书</w:t>
            </w:r>
            <w:r>
              <w:rPr>
                <w:rFonts w:hint="eastAsia" w:ascii="楷体" w:hAnsi="楷体" w:eastAsia="楷体" w:cs="楷体"/>
                <w:b w:val="0"/>
                <w:bCs w:val="0"/>
                <w:szCs w:val="24"/>
                <w:u w:val="none"/>
                <w:lang w:eastAsia="zh-CN"/>
              </w:rPr>
              <w:t>》</w:t>
            </w:r>
            <w:r>
              <w:rPr>
                <w:rFonts w:hint="eastAsia" w:ascii="楷体" w:hAnsi="楷体" w:eastAsia="楷体" w:cs="楷体"/>
                <w:b/>
                <w:bCs/>
                <w:u w:val="none"/>
              </w:rPr>
              <w:t>“产品认购、申购和赎回”</w:t>
            </w:r>
            <w:r>
              <w:rPr>
                <w:rFonts w:hint="eastAsia" w:ascii="楷体" w:hAnsi="楷体" w:eastAsia="楷体" w:cs="楷体"/>
                <w:b w:val="0"/>
                <w:bCs w:val="0"/>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u w:val="none"/>
              </w:rPr>
            </w:pPr>
            <w:r>
              <w:rPr>
                <w:rFonts w:hint="eastAsia" w:ascii="楷体" w:hAnsi="楷体" w:eastAsia="楷体" w:cs="楷体"/>
                <w:b/>
                <w:bCs/>
                <w:szCs w:val="21"/>
                <w:highlight w:val="none"/>
                <w:u w:val="none"/>
              </w:rPr>
              <w:t>理财产品</w:t>
            </w:r>
            <w:r>
              <w:rPr>
                <w:rFonts w:hint="eastAsia" w:ascii="楷体" w:hAnsi="楷体" w:eastAsia="楷体" w:cs="楷体"/>
                <w:b/>
                <w:bCs/>
                <w:szCs w:val="21"/>
                <w:highlight w:val="none"/>
                <w:u w:val="none"/>
                <w:lang w:val="en-US" w:eastAsia="zh-CN"/>
              </w:rPr>
              <w:t>收益</w:t>
            </w:r>
            <w:r>
              <w:rPr>
                <w:rFonts w:hint="eastAsia" w:ascii="楷体" w:hAnsi="楷体" w:eastAsia="楷体" w:cs="楷体"/>
                <w:b/>
                <w:bCs/>
                <w:szCs w:val="21"/>
                <w:highlight w:val="none"/>
                <w:u w:val="none"/>
              </w:rPr>
              <w:t>分配</w:t>
            </w:r>
          </w:p>
        </w:tc>
        <w:tc>
          <w:tcPr>
            <w:tcW w:w="6146" w:type="dxa"/>
            <w:vAlign w:val="center"/>
          </w:tcPr>
          <w:p>
            <w:pPr>
              <w:rPr>
                <w:rFonts w:hint="eastAsia" w:ascii="楷体" w:hAnsi="楷体" w:eastAsia="楷体" w:cs="楷体"/>
                <w:b w:val="0"/>
                <w:bCs w:val="0"/>
                <w:szCs w:val="21"/>
                <w:highlight w:val="none"/>
                <w:u w:val="none"/>
              </w:rPr>
            </w:pPr>
            <w:r>
              <w:rPr>
                <w:rFonts w:hint="eastAsia" w:ascii="楷体" w:hAnsi="楷体" w:eastAsia="楷体" w:cs="楷体"/>
                <w:b/>
                <w:bCs/>
                <w:szCs w:val="21"/>
                <w:highlight w:val="none"/>
                <w:u w:val="none"/>
                <w:lang w:val="en-US" w:eastAsia="zh-CN"/>
              </w:rPr>
              <w:t>1、</w:t>
            </w:r>
            <w:r>
              <w:rPr>
                <w:rFonts w:hint="eastAsia" w:ascii="楷体" w:hAnsi="楷体" w:eastAsia="楷体" w:cs="楷体"/>
                <w:b/>
                <w:bCs/>
                <w:szCs w:val="21"/>
                <w:highlight w:val="none"/>
                <w:u w:val="none"/>
              </w:rPr>
              <w:t>就期间分配而言，</w:t>
            </w:r>
            <w:r>
              <w:rPr>
                <w:rFonts w:hint="eastAsia" w:ascii="楷体" w:hAnsi="楷体" w:eastAsia="楷体" w:cs="楷体"/>
                <w:b w:val="0"/>
                <w:bCs w:val="0"/>
                <w:szCs w:val="21"/>
                <w:highlight w:val="none"/>
                <w:u w:val="none"/>
              </w:rPr>
              <w:t>在满足</w:t>
            </w:r>
            <w:r>
              <w:rPr>
                <w:rFonts w:hint="eastAsia" w:ascii="楷体" w:hAnsi="楷体" w:eastAsia="楷体" w:cs="楷体"/>
                <w:b w:val="0"/>
                <w:bCs w:val="0"/>
                <w:szCs w:val="21"/>
                <w:highlight w:val="none"/>
                <w:u w:val="none"/>
                <w:lang w:val="en-US" w:eastAsia="zh-CN"/>
              </w:rPr>
              <w:t>收益</w:t>
            </w:r>
            <w:r>
              <w:rPr>
                <w:rFonts w:hint="eastAsia" w:ascii="楷体" w:hAnsi="楷体" w:eastAsia="楷体" w:cs="楷体"/>
                <w:b w:val="0"/>
                <w:bCs w:val="0"/>
                <w:szCs w:val="21"/>
                <w:highlight w:val="none"/>
                <w:u w:val="none"/>
              </w:rPr>
              <w:t>分配基准日</w:t>
            </w:r>
            <w:r>
              <w:rPr>
                <w:rFonts w:hint="eastAsia" w:ascii="楷体" w:hAnsi="楷体" w:eastAsia="楷体" w:cs="楷体"/>
                <w:b w:val="0"/>
                <w:bCs w:val="0"/>
                <w:szCs w:val="21"/>
                <w:u w:val="none"/>
                <w:lang w:val="en-US" w:eastAsia="zh-CN"/>
              </w:rPr>
              <w:t>（以管理人确定的为准）</w:t>
            </w:r>
            <w:r>
              <w:rPr>
                <w:rFonts w:hint="eastAsia" w:ascii="楷体" w:hAnsi="楷体" w:eastAsia="楷体" w:cs="楷体"/>
                <w:b w:val="0"/>
                <w:bCs w:val="0"/>
                <w:szCs w:val="21"/>
                <w:highlight w:val="none"/>
                <w:u w:val="none"/>
              </w:rPr>
              <w:t>理财产品</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净值大于</w:t>
            </w:r>
            <w:r>
              <w:rPr>
                <w:rFonts w:hint="eastAsia" w:ascii="楷体" w:hAnsi="楷体" w:eastAsia="楷体" w:cs="楷体"/>
                <w:b w:val="0"/>
                <w:bCs w:val="0"/>
                <w:szCs w:val="21"/>
                <w:highlight w:val="none"/>
                <w:u w:val="none"/>
                <w:lang w:val="en-US" w:eastAsia="zh-CN"/>
              </w:rPr>
              <w:t>理财产品初始份额净值</w:t>
            </w:r>
            <w:r>
              <w:rPr>
                <w:rFonts w:hint="eastAsia" w:ascii="楷体" w:hAnsi="楷体" w:eastAsia="楷体" w:cs="楷体"/>
                <w:b w:val="0"/>
                <w:bCs w:val="0"/>
                <w:szCs w:val="21"/>
                <w:highlight w:val="none"/>
                <w:u w:val="none"/>
              </w:rPr>
              <w:t>的条件下，理财产品管理人可进行不定期分配，分配方式为现金分配</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理财产品管理人将根据理财产品投资收益情况决定分配基准日、当次分配比例和金额，并将于分红日后2个工作日内通过《产品说明书》“信息披露”约定的方式向投资者披露。</w:t>
            </w:r>
          </w:p>
          <w:p>
            <w:pPr>
              <w:rPr>
                <w:rFonts w:hint="eastAsia" w:ascii="楷体" w:hAnsi="楷体" w:eastAsia="楷体" w:cs="楷体"/>
                <w:b w:val="0"/>
                <w:bCs w:val="0"/>
                <w:u w:val="none"/>
              </w:rPr>
            </w:pPr>
            <w:r>
              <w:rPr>
                <w:rFonts w:hint="eastAsia" w:ascii="楷体" w:hAnsi="楷体" w:eastAsia="楷体" w:cs="楷体"/>
                <w:b/>
                <w:bCs/>
                <w:szCs w:val="21"/>
                <w:highlight w:val="none"/>
                <w:u w:val="none"/>
                <w:lang w:val="en-US" w:eastAsia="zh-CN"/>
              </w:rPr>
              <w:t>2、</w:t>
            </w:r>
            <w:r>
              <w:rPr>
                <w:rFonts w:hint="eastAsia" w:ascii="楷体" w:hAnsi="楷体" w:eastAsia="楷体" w:cs="楷体"/>
                <w:b/>
                <w:bCs/>
                <w:szCs w:val="21"/>
                <w:highlight w:val="none"/>
                <w:u w:val="none"/>
              </w:rPr>
              <w:t>就终止分配而言，</w:t>
            </w:r>
            <w:r>
              <w:rPr>
                <w:rFonts w:hint="eastAsia" w:ascii="楷体" w:hAnsi="楷体" w:eastAsia="楷体" w:cs="楷体"/>
                <w:b w:val="0"/>
                <w:bCs w:val="0"/>
                <w:szCs w:val="21"/>
                <w:highlight w:val="none"/>
                <w:u w:val="none"/>
              </w:rPr>
              <w:t>理财产品终止</w:t>
            </w:r>
            <w:r>
              <w:rPr>
                <w:rFonts w:hint="eastAsia" w:ascii="楷体" w:hAnsi="楷体" w:eastAsia="楷体" w:cs="楷体"/>
                <w:b w:val="0"/>
                <w:bCs w:val="0"/>
                <w:szCs w:val="21"/>
                <w:u w:val="none"/>
              </w:rPr>
              <w:t>日，如理财产品项下财产全部变现，管理人将在</w:t>
            </w:r>
            <w:r>
              <w:rPr>
                <w:rFonts w:hint="eastAsia" w:ascii="楷体" w:hAnsi="楷体" w:eastAsia="楷体" w:cs="楷体"/>
                <w:b w:val="0"/>
                <w:bCs w:val="0"/>
                <w:color w:val="auto"/>
                <w:szCs w:val="21"/>
                <w:u w:val="none"/>
              </w:rPr>
              <w:t>理财产品终止日后的5个工作日内扣除应由理财产品承担的税费及费用（包括但不限于固定投资管理费、销售管理费、托管费等）后将投资者应得资金（如有，下同）划转至投资者指定账户。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税费及费用（包括但不限于固定投资管理费、销售管理费、托管费等，或者由管理人、第三方垫付的费用）后，按照各投资者持有理财产品份额比例在5个工作日内向投资者分配。详见</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产品说明书</w:t>
            </w:r>
            <w:r>
              <w:rPr>
                <w:rFonts w:hint="eastAsia" w:ascii="楷体" w:hAnsi="楷体" w:eastAsia="楷体" w:cs="楷体"/>
                <w:b w:val="0"/>
                <w:bCs w:val="0"/>
                <w:color w:val="auto"/>
                <w:szCs w:val="21"/>
                <w:u w:val="none"/>
                <w:lang w:eastAsia="zh-CN"/>
              </w:rPr>
              <w:t>》</w:t>
            </w:r>
            <w:r>
              <w:rPr>
                <w:rFonts w:hint="eastAsia" w:ascii="楷体" w:hAnsi="楷体" w:eastAsia="楷体" w:cs="楷体"/>
                <w:b/>
                <w:bCs/>
                <w:color w:val="auto"/>
                <w:szCs w:val="21"/>
                <w:u w:val="none"/>
              </w:rPr>
              <w:t>“产品的收益、费用及税费”</w:t>
            </w:r>
            <w:r>
              <w:rPr>
                <w:rFonts w:hint="eastAsia" w:ascii="楷体" w:hAnsi="楷体" w:eastAsia="楷体" w:cs="楷体"/>
                <w:b w:val="0"/>
                <w:bCs w:val="0"/>
                <w:color w:val="auto"/>
                <w:szCs w:val="21"/>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szCs w:val="21"/>
                <w:highlight w:val="none"/>
                <w:u w:val="none"/>
                <w:lang w:eastAsia="zh-CN"/>
              </w:rPr>
            </w:pPr>
            <w:r>
              <w:rPr>
                <w:rFonts w:hint="eastAsia" w:ascii="楷体" w:hAnsi="楷体" w:eastAsia="楷体" w:cs="楷体"/>
                <w:b/>
                <w:bCs/>
                <w:color w:val="auto"/>
                <w:szCs w:val="21"/>
                <w:u w:val="none"/>
              </w:rPr>
              <w:t>业绩比较基准</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lang w:val="en-US" w:eastAsia="zh-CN"/>
              </w:rPr>
              <w:t>年化</w:t>
            </w:r>
            <w:r>
              <w:rPr>
                <w:rFonts w:hint="eastAsia" w:ascii="楷体" w:hAnsi="楷体" w:eastAsia="楷体" w:cs="楷体"/>
                <w:b/>
                <w:bCs/>
                <w:color w:val="auto"/>
                <w:szCs w:val="21"/>
                <w:u w:val="none"/>
                <w:lang w:eastAsia="zh-CN"/>
              </w:rPr>
              <w:t>）</w:t>
            </w:r>
          </w:p>
        </w:tc>
        <w:tc>
          <w:tcPr>
            <w:tcW w:w="6146" w:type="dxa"/>
            <w:vAlign w:val="center"/>
          </w:tcPr>
          <w:p>
            <w:pPr>
              <w:numPr>
                <w:ilvl w:val="0"/>
                <w:numId w:val="0"/>
              </w:numPr>
              <w:rPr>
                <w:rFonts w:hint="eastAsia" w:ascii="楷体" w:hAnsi="楷体" w:eastAsia="楷体" w:cs="楷体"/>
                <w:b w:val="0"/>
                <w:bCs w:val="0"/>
                <w:color w:val="000000"/>
                <w:kern w:val="2"/>
                <w:sz w:val="21"/>
                <w:szCs w:val="21"/>
                <w:u w:val="none"/>
                <w:lang w:val="en-US"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适用【B】类份额</w:t>
            </w:r>
            <w:r>
              <w:rPr>
                <w:rFonts w:hint="eastAsia" w:ascii="楷体" w:hAnsi="楷体" w:eastAsia="楷体" w:cs="楷体"/>
                <w:b w:val="0"/>
                <w:bCs w:val="0"/>
                <w:color w:val="auto"/>
                <w:szCs w:val="21"/>
                <w:u w:val="none"/>
                <w:lang w:eastAsia="zh-CN"/>
              </w:rPr>
              <w:t>）</w:t>
            </w:r>
          </w:p>
          <w:p>
            <w:pPr>
              <w:pStyle w:val="9"/>
              <w:widowControl/>
              <w:spacing w:beforeAutospacing="0" w:afterAutospacing="0"/>
              <w:rPr>
                <w:rFonts w:hint="eastAsia" w:ascii="楷体" w:hAnsi="楷体" w:eastAsia="楷体" w:cs="楷体"/>
                <w:b w:val="0"/>
                <w:bCs w:val="0"/>
                <w:szCs w:val="21"/>
                <w:u w:val="none"/>
              </w:rPr>
            </w:pPr>
            <w:r>
              <w:rPr>
                <w:rFonts w:hint="eastAsia" w:ascii="楷体" w:hAnsi="楷体" w:eastAsia="楷体" w:cs="楷体"/>
                <w:b/>
                <w:bCs/>
                <w:color w:val="000000"/>
                <w:kern w:val="2"/>
                <w:sz w:val="21"/>
                <w:szCs w:val="21"/>
                <w:u w:val="none"/>
                <w:lang w:val="en-US" w:eastAsia="zh-CN"/>
              </w:rPr>
              <w:t>业绩比较基准的说明：</w:t>
            </w:r>
            <w:r>
              <w:rPr>
                <w:rFonts w:hint="eastAsia" w:ascii="楷体" w:hAnsi="楷体" w:eastAsia="楷体" w:cs="楷体"/>
                <w:b w:val="0"/>
                <w:bCs w:val="0"/>
                <w:kern w:val="0"/>
                <w:sz w:val="21"/>
                <w:szCs w:val="21"/>
                <w:u w:val="none"/>
                <w:lang w:val="en-US" w:eastAsia="zh-CN"/>
              </w:rPr>
              <w:t>以产品投资货币市场工具、债券、债权类资产等固定收益类资产不低于80%，结合产品风险收益特征制定本产品的业绩比较基准。本产品业绩比较基准是在产品说明书约定的投资范围内，根据产品投资策略、市场环境和各类资产的投资比例及收益率水平进行综合测算而得出。</w:t>
            </w:r>
          </w:p>
          <w:p>
            <w:pPr>
              <w:pStyle w:val="9"/>
              <w:widowControl/>
              <w:spacing w:beforeAutospacing="0" w:afterAutospacing="0"/>
              <w:rPr>
                <w:rFonts w:hint="eastAsia" w:ascii="楷体" w:hAnsi="楷体" w:eastAsia="楷体" w:cs="楷体"/>
                <w:b/>
                <w:bCs/>
                <w:sz w:val="21"/>
                <w:szCs w:val="21"/>
                <w:u w:val="none"/>
                <w:lang w:val="en-US" w:eastAsia="zh-CN"/>
              </w:rPr>
            </w:pPr>
            <w:r>
              <w:rPr>
                <w:rFonts w:hint="eastAsia" w:ascii="楷体" w:hAnsi="楷体" w:eastAsia="楷体" w:cs="楷体"/>
                <w:b/>
                <w:bCs/>
                <w:sz w:val="21"/>
                <w:szCs w:val="21"/>
                <w:u w:val="none"/>
                <w:lang w:val="en-US" w:eastAsia="zh-CN"/>
              </w:rPr>
              <w:t>本理财产品设定业绩比较基准如下：</w:t>
            </w:r>
          </w:p>
          <w:p>
            <w:pPr>
              <w:rPr>
                <w:rFonts w:hint="eastAsia" w:ascii="楷体" w:hAnsi="楷体" w:eastAsia="楷体" w:cs="楷体"/>
                <w:b/>
                <w:bCs/>
                <w:color w:val="auto"/>
                <w:sz w:val="21"/>
                <w:szCs w:val="21"/>
                <w:u w:val="none"/>
                <w:lang w:val="en-US" w:eastAsia="zh-CN"/>
              </w:rPr>
            </w:pPr>
            <w:r>
              <w:rPr>
                <w:rFonts w:hint="eastAsia" w:ascii="楷体" w:hAnsi="楷体" w:eastAsia="楷体" w:cs="楷体"/>
                <w:b/>
                <w:bCs/>
                <w:color w:val="auto"/>
                <w:szCs w:val="21"/>
                <w:u w:val="none"/>
                <w:lang w:val="en-US" w:eastAsia="zh-CN"/>
              </w:rPr>
              <w:t>【B】</w:t>
            </w:r>
            <w:r>
              <w:rPr>
                <w:rFonts w:hint="eastAsia" w:ascii="楷体" w:hAnsi="楷体" w:eastAsia="楷体" w:cs="楷体"/>
                <w:b/>
                <w:bCs/>
                <w:color w:val="auto"/>
                <w:sz w:val="21"/>
                <w:szCs w:val="21"/>
                <w:u w:val="none"/>
                <w:lang w:val="en-US" w:eastAsia="zh-CN"/>
              </w:rPr>
              <w:t>类份额：【中国人民银行公布的3个月定期存款利率×40%+中债-新综合全价（1年以下）指数收益率（CBA00113.CS）×60%】</w:t>
            </w:r>
          </w:p>
          <w:p>
            <w:pPr>
              <w:pStyle w:val="9"/>
              <w:widowControl/>
              <w:spacing w:beforeAutospacing="0" w:afterAutospacing="0"/>
              <w:rPr>
                <w:rFonts w:hint="eastAsia" w:ascii="楷体" w:hAnsi="楷体" w:eastAsia="楷体" w:cs="楷体"/>
                <w:b/>
                <w:bCs/>
                <w:kern w:val="2"/>
                <w:sz w:val="21"/>
                <w:szCs w:val="21"/>
                <w:u w:val="none"/>
              </w:rPr>
            </w:pPr>
            <w:r>
              <w:rPr>
                <w:rFonts w:hint="eastAsia" w:ascii="楷体" w:hAnsi="楷体" w:eastAsia="楷体" w:cs="楷体"/>
                <w:b/>
                <w:bCs/>
                <w:color w:val="000000"/>
                <w:kern w:val="2"/>
                <w:sz w:val="21"/>
                <w:szCs w:val="21"/>
                <w:u w:val="none"/>
              </w:rPr>
              <w:t>业绩比较基准是</w:t>
            </w:r>
            <w:r>
              <w:rPr>
                <w:rFonts w:hint="eastAsia" w:ascii="楷体" w:hAnsi="楷体" w:eastAsia="楷体" w:cs="楷体"/>
                <w:b/>
                <w:bCs/>
                <w:color w:val="000000"/>
                <w:kern w:val="2"/>
                <w:sz w:val="21"/>
                <w:szCs w:val="21"/>
                <w:u w:val="none"/>
                <w:lang w:val="en-US" w:eastAsia="zh-CN"/>
              </w:rPr>
              <w:t>管理人</w:t>
            </w:r>
            <w:r>
              <w:rPr>
                <w:rFonts w:hint="eastAsia" w:ascii="楷体" w:hAnsi="楷体" w:eastAsia="楷体" w:cs="楷体"/>
                <w:b/>
                <w:bCs/>
                <w:color w:val="000000"/>
                <w:kern w:val="2"/>
                <w:sz w:val="21"/>
                <w:szCs w:val="21"/>
                <w:u w:val="none"/>
              </w:rPr>
              <w:t>基于产品性质、投资策略、过往经验等因素对产品设定的投资目标，</w:t>
            </w:r>
            <w:r>
              <w:rPr>
                <w:rFonts w:hint="eastAsia" w:ascii="楷体" w:hAnsi="楷体" w:eastAsia="楷体" w:cs="楷体"/>
                <w:b/>
                <w:bCs/>
                <w:color w:val="auto"/>
                <w:kern w:val="2"/>
                <w:sz w:val="21"/>
                <w:szCs w:val="21"/>
              </w:rPr>
              <w:t>业绩比较基准不是预期收益率，</w:t>
            </w:r>
            <w:r>
              <w:rPr>
                <w:rFonts w:hint="eastAsia" w:ascii="楷体" w:hAnsi="楷体" w:eastAsia="楷体" w:cs="楷体"/>
                <w:b/>
                <w:bCs/>
                <w:color w:val="000000"/>
                <w:kern w:val="2"/>
                <w:sz w:val="21"/>
                <w:szCs w:val="21"/>
                <w:u w:val="none"/>
              </w:rPr>
              <w:t>不代表产品的未来表现和实际收益，不构成对产品收</w:t>
            </w:r>
            <w:r>
              <w:rPr>
                <w:rFonts w:hint="eastAsia" w:ascii="楷体" w:hAnsi="楷体" w:eastAsia="楷体" w:cs="楷体"/>
                <w:b/>
                <w:bCs/>
                <w:kern w:val="2"/>
                <w:sz w:val="21"/>
                <w:szCs w:val="21"/>
                <w:u w:val="none"/>
              </w:rPr>
              <w:t>益的承诺。</w:t>
            </w:r>
          </w:p>
          <w:p>
            <w:pPr>
              <w:pStyle w:val="9"/>
              <w:widowControl/>
              <w:spacing w:beforeAutospacing="0" w:afterAutospacing="0"/>
              <w:rPr>
                <w:rFonts w:hint="eastAsia" w:ascii="楷体" w:hAnsi="楷体" w:eastAsia="楷体" w:cs="楷体"/>
                <w:b/>
                <w:bCs/>
                <w:szCs w:val="21"/>
                <w:highlight w:val="none"/>
                <w:u w:val="none"/>
              </w:rPr>
            </w:pPr>
            <w:r>
              <w:rPr>
                <w:rFonts w:hint="eastAsia" w:ascii="楷体" w:hAnsi="楷体" w:eastAsia="楷体" w:cs="楷体"/>
                <w:b w:val="0"/>
                <w:bCs w:val="0"/>
                <w:kern w:val="2"/>
                <w:sz w:val="21"/>
                <w:szCs w:val="21"/>
                <w:u w:val="none"/>
              </w:rPr>
              <w:t>管理人将根据市场情况对产品的业绩比较基准进行动态</w:t>
            </w:r>
            <w:r>
              <w:rPr>
                <w:rFonts w:hint="eastAsia" w:ascii="楷体" w:hAnsi="楷体" w:eastAsia="楷体" w:cs="楷体"/>
                <w:b w:val="0"/>
                <w:bCs w:val="0"/>
                <w:color w:val="000000"/>
                <w:kern w:val="2"/>
                <w:sz w:val="21"/>
                <w:szCs w:val="21"/>
                <w:u w:val="none"/>
              </w:rPr>
              <w:t>调整，投资者可通过销售机构网站进行查询，调整后的业绩比较基准自公布日起的第一个产品确认日生效</w:t>
            </w:r>
            <w:r>
              <w:rPr>
                <w:rFonts w:hint="eastAsia" w:ascii="楷体" w:hAnsi="楷体" w:eastAsia="楷体" w:cs="楷体"/>
                <w:b w:val="0"/>
                <w:bCs w:val="0"/>
                <w:szCs w:val="21"/>
                <w:u w:val="none"/>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u w:val="none"/>
                <w:lang w:val="en-US" w:eastAsia="zh-CN"/>
              </w:rPr>
            </w:pPr>
            <w:r>
              <w:rPr>
                <w:rFonts w:hint="eastAsia" w:ascii="楷体" w:hAnsi="楷体" w:eastAsia="楷体" w:cs="楷体"/>
                <w:b/>
                <w:bCs/>
                <w:color w:val="auto"/>
                <w:highlight w:val="none"/>
                <w:u w:val="none"/>
                <w:lang w:val="en-US" w:eastAsia="zh-CN"/>
              </w:rPr>
              <w:t>理财</w:t>
            </w:r>
            <w:r>
              <w:rPr>
                <w:rFonts w:hint="eastAsia" w:ascii="楷体" w:hAnsi="楷体" w:eastAsia="楷体" w:cs="楷体"/>
                <w:b/>
                <w:bCs/>
                <w:color w:val="auto"/>
                <w:highlight w:val="none"/>
                <w:u w:val="none"/>
              </w:rPr>
              <w:t>产品</w:t>
            </w:r>
            <w:r>
              <w:rPr>
                <w:rFonts w:hint="eastAsia" w:ascii="楷体" w:hAnsi="楷体" w:eastAsia="楷体" w:cs="楷体"/>
                <w:b/>
                <w:bCs/>
                <w:color w:val="auto"/>
                <w:highlight w:val="none"/>
                <w:u w:val="none"/>
                <w:lang w:val="en-US" w:eastAsia="zh-CN"/>
              </w:rPr>
              <w:t>费率设置</w:t>
            </w:r>
          </w:p>
        </w:tc>
        <w:tc>
          <w:tcPr>
            <w:tcW w:w="6146" w:type="dxa"/>
            <w:vAlign w:val="top"/>
          </w:tcPr>
          <w:p>
            <w:pPr>
              <w:numPr>
                <w:ilvl w:val="12"/>
                <w:numId w:val="0"/>
              </w:numPr>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szCs w:val="21"/>
                <w:highlight w:val="none"/>
                <w:u w:val="none"/>
                <w:lang w:eastAsia="zh-CN"/>
              </w:rPr>
              <w:t>（</w:t>
            </w:r>
            <w:r>
              <w:rPr>
                <w:rFonts w:hint="eastAsia" w:ascii="楷体" w:hAnsi="楷体" w:eastAsia="楷体" w:cs="楷体"/>
                <w:b w:val="0"/>
                <w:bCs w:val="0"/>
                <w:color w:val="auto"/>
                <w:szCs w:val="21"/>
                <w:highlight w:val="none"/>
                <w:u w:val="none"/>
                <w:lang w:val="en-US" w:eastAsia="zh-CN"/>
              </w:rPr>
              <w:t>适用</w:t>
            </w:r>
            <w:r>
              <w:rPr>
                <w:rFonts w:hint="eastAsia" w:ascii="楷体" w:hAnsi="楷体" w:eastAsia="楷体" w:cs="楷体"/>
                <w:b w:val="0"/>
                <w:bCs w:val="0"/>
                <w:color w:val="auto"/>
                <w:szCs w:val="21"/>
                <w:u w:val="none"/>
                <w:lang w:val="en-US" w:eastAsia="zh-CN"/>
              </w:rPr>
              <w:t>【B】</w:t>
            </w:r>
            <w:r>
              <w:rPr>
                <w:rFonts w:hint="eastAsia" w:ascii="楷体" w:hAnsi="楷体" w:eastAsia="楷体" w:cs="楷体"/>
                <w:b w:val="0"/>
                <w:bCs w:val="0"/>
                <w:color w:val="auto"/>
                <w:szCs w:val="21"/>
                <w:highlight w:val="none"/>
                <w:u w:val="none"/>
                <w:lang w:val="en-US" w:eastAsia="zh-CN"/>
              </w:rPr>
              <w:t>类份额</w:t>
            </w:r>
            <w:r>
              <w:rPr>
                <w:rFonts w:hint="eastAsia" w:ascii="楷体" w:hAnsi="楷体" w:eastAsia="楷体" w:cs="楷体"/>
                <w:b w:val="0"/>
                <w:bCs w:val="0"/>
                <w:color w:val="auto"/>
                <w:szCs w:val="21"/>
                <w:highlight w:val="none"/>
                <w:u w:val="none"/>
                <w:lang w:eastAsia="zh-CN"/>
              </w:rPr>
              <w:t>）</w:t>
            </w:r>
          </w:p>
          <w:p>
            <w:pPr>
              <w:numPr>
                <w:ilvl w:val="12"/>
                <w:numId w:val="0"/>
              </w:numPr>
              <w:rPr>
                <w:rFonts w:hint="eastAsia" w:ascii="楷体" w:hAnsi="楷体" w:eastAsia="楷体" w:cs="楷体"/>
                <w:b/>
                <w:bCs/>
                <w:szCs w:val="22"/>
                <w:u w:val="none"/>
                <w:lang w:val="en-US" w:eastAsia="zh-CN"/>
              </w:rPr>
            </w:pPr>
            <w:r>
              <w:rPr>
                <w:rFonts w:hint="eastAsia" w:ascii="楷体" w:hAnsi="楷体" w:eastAsia="楷体" w:cs="楷体"/>
                <w:b/>
                <w:bCs/>
                <w:szCs w:val="22"/>
                <w:u w:val="none"/>
                <w:lang w:val="en-US" w:eastAsia="zh-CN"/>
              </w:rPr>
              <w:t>1、理财产品费用：</w:t>
            </w:r>
          </w:p>
          <w:p>
            <w:pPr>
              <w:numPr>
                <w:ilvl w:val="12"/>
                <w:numId w:val="0"/>
              </w:numPr>
              <w:rPr>
                <w:rFonts w:hint="eastAsia" w:ascii="楷体" w:hAnsi="楷体" w:eastAsia="楷体" w:cs="楷体"/>
                <w:b/>
                <w:bCs/>
                <w:color w:val="auto"/>
                <w:szCs w:val="21"/>
                <w:highlight w:val="none"/>
                <w:u w:val="none"/>
              </w:rPr>
            </w:pPr>
            <w:r>
              <w:rPr>
                <w:rFonts w:hint="eastAsia" w:ascii="楷体" w:hAnsi="楷体" w:eastAsia="楷体" w:cs="楷体"/>
                <w:b/>
                <w:bCs/>
                <w:szCs w:val="21"/>
                <w:highlight w:val="none"/>
                <w:u w:val="none"/>
                <w:lang w:val="en-US" w:eastAsia="zh-CN"/>
              </w:rPr>
              <w:t>（1）销售管理费：</w:t>
            </w:r>
            <w:r>
              <w:rPr>
                <w:rFonts w:hint="eastAsia" w:ascii="楷体" w:hAnsi="楷体" w:eastAsia="楷体" w:cs="楷体"/>
                <w:b w:val="0"/>
                <w:bCs w:val="0"/>
                <w:color w:val="auto"/>
                <w:szCs w:val="21"/>
                <w:highlight w:val="none"/>
                <w:u w:val="none"/>
                <w:lang w:val="en-US" w:eastAsia="zh-CN"/>
              </w:rPr>
              <w:t>年化费率0.60%</w:t>
            </w:r>
            <w:r>
              <w:rPr>
                <w:rFonts w:hint="eastAsia" w:ascii="楷体" w:hAnsi="楷体" w:eastAsia="楷体" w:cs="楷体"/>
                <w:b/>
                <w:bCs/>
                <w:color w:val="auto"/>
                <w:szCs w:val="21"/>
                <w:highlight w:val="none"/>
                <w:u w:val="none"/>
                <w:lang w:val="en-US" w:eastAsia="zh-CN"/>
              </w:rPr>
              <w:t>。</w:t>
            </w:r>
          </w:p>
          <w:p>
            <w:pPr>
              <w:numPr>
                <w:ilvl w:val="12"/>
                <w:numId w:val="0"/>
              </w:numPr>
              <w:rPr>
                <w:rFonts w:hint="eastAsia" w:ascii="楷体" w:hAnsi="楷体" w:eastAsia="楷体" w:cs="楷体"/>
                <w:b/>
                <w:bCs/>
                <w:color w:val="auto"/>
                <w:szCs w:val="21"/>
                <w:highlight w:val="none"/>
                <w:u w:val="none"/>
              </w:rPr>
            </w:pPr>
            <w:r>
              <w:rPr>
                <w:rFonts w:hint="eastAsia" w:ascii="楷体" w:hAnsi="楷体" w:eastAsia="楷体" w:cs="楷体"/>
                <w:b/>
                <w:bCs/>
                <w:color w:val="auto"/>
                <w:szCs w:val="21"/>
                <w:highlight w:val="none"/>
                <w:u w:val="none"/>
                <w:lang w:val="en-US" w:eastAsia="zh-CN"/>
              </w:rPr>
              <w:t>（2）固定投资管理费：</w:t>
            </w:r>
            <w:r>
              <w:rPr>
                <w:rFonts w:hint="eastAsia" w:ascii="楷体" w:hAnsi="楷体" w:eastAsia="楷体" w:cs="楷体"/>
                <w:b w:val="0"/>
                <w:bCs w:val="0"/>
                <w:color w:val="auto"/>
                <w:szCs w:val="21"/>
                <w:highlight w:val="none"/>
                <w:u w:val="none"/>
                <w:lang w:val="en-US" w:eastAsia="zh-CN"/>
              </w:rPr>
              <w:t>年化费率0.60%。</w:t>
            </w:r>
          </w:p>
          <w:p>
            <w:pPr>
              <w:numPr>
                <w:ilvl w:val="12"/>
                <w:numId w:val="0"/>
              </w:numPr>
              <w:rPr>
                <w:rFonts w:hint="eastAsia" w:ascii="楷体" w:hAnsi="楷体" w:eastAsia="楷体" w:cs="楷体"/>
                <w:b w:val="0"/>
                <w:bCs w:val="0"/>
                <w:color w:val="auto"/>
                <w:szCs w:val="21"/>
                <w:highlight w:val="none"/>
                <w:u w:val="none"/>
                <w:lang w:val="en-US"/>
              </w:rPr>
            </w:pPr>
            <w:r>
              <w:rPr>
                <w:rFonts w:hint="eastAsia" w:ascii="楷体" w:hAnsi="楷体" w:eastAsia="楷体" w:cs="楷体"/>
                <w:b/>
                <w:bCs/>
                <w:color w:val="auto"/>
                <w:szCs w:val="21"/>
                <w:highlight w:val="none"/>
                <w:u w:val="none"/>
                <w:lang w:val="en-US" w:eastAsia="zh-CN"/>
              </w:rPr>
              <w:t>（3）托管费：</w:t>
            </w:r>
            <w:r>
              <w:rPr>
                <w:rFonts w:hint="eastAsia" w:ascii="楷体" w:hAnsi="楷体" w:eastAsia="楷体" w:cs="楷体"/>
                <w:b w:val="0"/>
                <w:bCs w:val="0"/>
                <w:color w:val="auto"/>
                <w:szCs w:val="21"/>
                <w:highlight w:val="none"/>
                <w:u w:val="none"/>
                <w:lang w:val="en-US" w:eastAsia="zh-CN"/>
              </w:rPr>
              <w:t>年化费率0.02%。</w:t>
            </w:r>
          </w:p>
          <w:p>
            <w:pPr>
              <w:numPr>
                <w:ilvl w:val="12"/>
                <w:numId w:val="0"/>
              </w:numPr>
              <w:rPr>
                <w:rFonts w:hint="eastAsia" w:ascii="楷体" w:hAnsi="楷体" w:eastAsia="楷体" w:cs="楷体"/>
                <w:b/>
                <w:bCs/>
                <w:color w:val="auto"/>
                <w:szCs w:val="21"/>
                <w:highlight w:val="none"/>
                <w:u w:val="none"/>
                <w:lang w:val="en-US" w:eastAsia="zh-CN"/>
              </w:rPr>
            </w:pPr>
            <w:r>
              <w:rPr>
                <w:rFonts w:hint="eastAsia" w:ascii="楷体" w:hAnsi="楷体" w:eastAsia="楷体" w:cs="楷体"/>
                <w:b/>
                <w:bCs/>
                <w:color w:val="auto"/>
                <w:szCs w:val="21"/>
                <w:highlight w:val="none"/>
                <w:u w:val="none"/>
                <w:lang w:val="en-US" w:eastAsia="zh-CN"/>
              </w:rPr>
              <w:t>（4）浮动投资管理费：</w:t>
            </w:r>
          </w:p>
          <w:p>
            <w:pPr>
              <w:spacing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本理财产品浮动投资管理费收取比例：【/】</w:t>
            </w:r>
          </w:p>
          <w:p>
            <w:pPr>
              <w:widowControl/>
              <w:numPr>
                <w:ilvl w:val="0"/>
                <w:numId w:val="0"/>
              </w:numPr>
              <w:jc w:val="left"/>
              <w:rPr>
                <w:rFonts w:hint="eastAsia" w:ascii="楷体" w:hAnsi="楷体" w:eastAsia="楷体" w:cs="楷体"/>
                <w:b/>
                <w:bCs/>
                <w:color w:val="auto"/>
                <w:szCs w:val="21"/>
                <w:highlight w:val="none"/>
                <w:u w:val="none"/>
                <w:lang w:val="en-US" w:eastAsia="zh-CN"/>
              </w:rPr>
            </w:pPr>
            <w:r>
              <w:rPr>
                <w:rFonts w:hint="eastAsia" w:ascii="楷体" w:hAnsi="楷体" w:eastAsia="楷体" w:cs="楷体"/>
                <w:b/>
                <w:bCs/>
                <w:color w:val="auto"/>
                <w:szCs w:val="21"/>
                <w:highlight w:val="none"/>
                <w:u w:val="none"/>
                <w:lang w:val="en-US" w:eastAsia="zh-CN"/>
              </w:rPr>
              <w:t>2、认购费、申购费、赎回费：</w:t>
            </w:r>
          </w:p>
          <w:p>
            <w:pPr>
              <w:numPr>
                <w:ilvl w:val="12"/>
                <w:numId w:val="0"/>
              </w:numPr>
              <w:ind w:firstLine="420" w:firstLineChars="20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投资者认购/申购或赎回本理财产品时，需按约定支付认购/申购费或赎回费（如有），认购/申购费、赎回费不属于理财产品费用，不由理财产品承担，由投资者承担并于认购/申购或赎回份额时一次性支付。</w:t>
            </w:r>
          </w:p>
          <w:p>
            <w:pPr>
              <w:numPr>
                <w:ilvl w:val="12"/>
                <w:numId w:val="0"/>
              </w:numPr>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bCs/>
                <w:color w:val="auto"/>
                <w:szCs w:val="21"/>
                <w:highlight w:val="none"/>
                <w:u w:val="none"/>
                <w:lang w:val="en-US" w:eastAsia="zh-CN"/>
              </w:rPr>
              <w:t>（1）认购费：</w:t>
            </w:r>
            <w:r>
              <w:rPr>
                <w:rFonts w:hint="eastAsia" w:ascii="楷体" w:hAnsi="楷体" w:eastAsia="楷体" w:cs="楷体"/>
                <w:b w:val="0"/>
                <w:bCs w:val="0"/>
                <w:color w:val="auto"/>
                <w:szCs w:val="21"/>
                <w:highlight w:val="none"/>
                <w:u w:val="none"/>
                <w:lang w:val="en-US" w:eastAsia="zh-CN"/>
              </w:rPr>
              <w:t>【/】。</w:t>
            </w:r>
          </w:p>
          <w:p>
            <w:pPr>
              <w:numPr>
                <w:ilvl w:val="12"/>
                <w:numId w:val="0"/>
              </w:numPr>
              <w:rPr>
                <w:rFonts w:hint="eastAsia" w:ascii="楷体" w:hAnsi="楷体" w:eastAsia="楷体" w:cs="楷体"/>
                <w:b/>
                <w:bCs/>
                <w:color w:val="auto"/>
                <w:szCs w:val="21"/>
                <w:highlight w:val="none"/>
                <w:u w:val="none"/>
              </w:rPr>
            </w:pPr>
            <w:r>
              <w:rPr>
                <w:rFonts w:hint="eastAsia" w:ascii="楷体" w:hAnsi="楷体" w:eastAsia="楷体" w:cs="楷体"/>
                <w:b/>
                <w:bCs/>
                <w:color w:val="auto"/>
                <w:szCs w:val="21"/>
                <w:highlight w:val="none"/>
                <w:u w:val="none"/>
                <w:lang w:val="en-US" w:eastAsia="zh-CN"/>
              </w:rPr>
              <w:t>（2）申购费：</w:t>
            </w:r>
            <w:r>
              <w:rPr>
                <w:rFonts w:hint="eastAsia" w:ascii="楷体" w:hAnsi="楷体" w:eastAsia="楷体" w:cs="楷体"/>
                <w:b w:val="0"/>
                <w:bCs w:val="0"/>
                <w:color w:val="auto"/>
                <w:szCs w:val="21"/>
                <w:highlight w:val="none"/>
                <w:u w:val="none"/>
                <w:lang w:val="en-US" w:eastAsia="zh-CN"/>
              </w:rPr>
              <w:t>【/】。</w:t>
            </w:r>
          </w:p>
          <w:p>
            <w:pPr>
              <w:numPr>
                <w:ilvl w:val="12"/>
                <w:numId w:val="0"/>
              </w:numPr>
              <w:rPr>
                <w:rFonts w:hint="eastAsia" w:ascii="楷体" w:hAnsi="楷体" w:eastAsia="楷体" w:cs="楷体"/>
                <w:b w:val="0"/>
                <w:bCs w:val="0"/>
                <w:color w:val="auto"/>
                <w:szCs w:val="21"/>
                <w:u w:val="none"/>
                <w:lang w:val="en-US" w:eastAsia="zh-CN"/>
              </w:rPr>
            </w:pPr>
            <w:r>
              <w:rPr>
                <w:rFonts w:hint="eastAsia" w:ascii="楷体" w:hAnsi="楷体" w:eastAsia="楷体" w:cs="楷体"/>
                <w:b/>
                <w:bCs/>
                <w:color w:val="auto"/>
                <w:szCs w:val="21"/>
                <w:highlight w:val="none"/>
                <w:u w:val="none"/>
                <w:lang w:val="en-US" w:eastAsia="zh-CN"/>
              </w:rPr>
              <w:t>（3）赎回费：</w:t>
            </w:r>
            <w:r>
              <w:rPr>
                <w:rFonts w:hint="eastAsia" w:ascii="楷体" w:hAnsi="楷体" w:eastAsia="楷体" w:cs="楷体"/>
                <w:b w:val="0"/>
                <w:bCs w:val="0"/>
                <w:color w:val="auto"/>
                <w:szCs w:val="21"/>
                <w:highlight w:val="none"/>
                <w:u w:val="none"/>
                <w:lang w:val="en-US" w:eastAsia="zh-CN"/>
              </w:rPr>
              <w:t>【/】。</w:t>
            </w:r>
          </w:p>
          <w:p>
            <w:pPr>
              <w:numPr>
                <w:ilvl w:val="12"/>
                <w:numId w:val="0"/>
              </w:numPr>
              <w:ind w:left="0" w:leftChars="0" w:firstLine="0" w:firstLineChars="0"/>
              <w:rPr>
                <w:rFonts w:hint="eastAsia" w:ascii="楷体" w:hAnsi="楷体" w:eastAsia="楷体" w:cs="楷体"/>
                <w:b/>
                <w:bCs/>
                <w:color w:val="000000"/>
                <w:kern w:val="2"/>
                <w:sz w:val="21"/>
                <w:szCs w:val="21"/>
                <w:u w:val="none"/>
              </w:rPr>
            </w:pPr>
            <w:r>
              <w:rPr>
                <w:rFonts w:hint="eastAsia" w:ascii="楷体" w:hAnsi="楷体" w:eastAsia="楷体" w:cs="楷体"/>
                <w:b w:val="0"/>
                <w:bCs w:val="0"/>
                <w:szCs w:val="21"/>
                <w:highlight w:val="none"/>
                <w:u w:val="none"/>
                <w:lang w:val="en-US" w:eastAsia="zh-CN"/>
              </w:rPr>
              <w:t>3、</w:t>
            </w:r>
            <w:r>
              <w:rPr>
                <w:rFonts w:hint="eastAsia" w:ascii="楷体" w:hAnsi="楷体" w:eastAsia="楷体" w:cs="楷体"/>
                <w:b w:val="0"/>
                <w:bCs w:val="0"/>
                <w:szCs w:val="21"/>
                <w:highlight w:val="none"/>
                <w:u w:val="none"/>
              </w:rPr>
              <w:t>上银理财有权根据相关法律和国家政策规定调整产品费率，调整产品费率的公告将通过</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产品说明书</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highlight w:val="none"/>
                <w:u w:val="none"/>
              </w:rPr>
              <w:t>“信息披露”约定的方式向投资者披露</w:t>
            </w:r>
            <w:r>
              <w:rPr>
                <w:rFonts w:hint="eastAsia" w:ascii="楷体" w:hAnsi="楷体" w:eastAsia="楷体" w:cs="楷体"/>
                <w:b w:val="0"/>
                <w:bCs w:val="0"/>
                <w:szCs w:val="21"/>
                <w:highlight w:val="none"/>
                <w:u w:val="none"/>
              </w:rPr>
              <w:t>。投资者若不接受，可根据实际情况按照公告约定提前赎回本理财产品。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color w:val="auto"/>
                <w:highlight w:val="none"/>
                <w:u w:val="none"/>
                <w:lang w:val="en-US" w:eastAsia="zh-CN"/>
              </w:rPr>
            </w:pPr>
            <w:r>
              <w:rPr>
                <w:rFonts w:hint="eastAsia" w:ascii="楷体" w:hAnsi="楷体" w:eastAsia="楷体" w:cs="楷体"/>
                <w:b/>
                <w:bCs/>
                <w:color w:val="auto"/>
                <w:highlight w:val="none"/>
                <w:u w:val="none"/>
                <w:lang w:val="en-US" w:eastAsia="zh-CN"/>
              </w:rPr>
              <w:t>本金及理财收益</w:t>
            </w:r>
          </w:p>
        </w:tc>
        <w:tc>
          <w:tcPr>
            <w:tcW w:w="6146" w:type="dxa"/>
            <w:vAlign w:val="top"/>
          </w:tcPr>
          <w:p>
            <w:pPr>
              <w:numPr>
                <w:ilvl w:val="12"/>
                <w:numId w:val="0"/>
              </w:numPr>
              <w:ind w:left="0" w:leftChars="0" w:firstLine="0" w:firstLineChars="0"/>
              <w:rPr>
                <w:rFonts w:hint="eastAsia" w:ascii="楷体" w:hAnsi="楷体" w:eastAsia="楷体" w:cs="楷体"/>
                <w:b/>
                <w:bCs/>
                <w:szCs w:val="21"/>
                <w:highlight w:val="none"/>
                <w:u w:val="none"/>
              </w:rPr>
            </w:pPr>
            <w:r>
              <w:rPr>
                <w:rFonts w:hint="eastAsia" w:ascii="楷体" w:hAnsi="楷体" w:eastAsia="楷体" w:cs="楷体"/>
                <w:b w:val="0"/>
                <w:bCs w:val="0"/>
                <w:szCs w:val="21"/>
                <w:highlight w:val="none"/>
                <w:u w:val="none"/>
              </w:rPr>
              <w:t>本理财产品不保障本金和收益，详见</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产品说明书</w:t>
            </w:r>
            <w:r>
              <w:rPr>
                <w:rFonts w:hint="eastAsia" w:ascii="楷体" w:hAnsi="楷体" w:eastAsia="楷体" w:cs="楷体"/>
                <w:b w:val="0"/>
                <w:bCs w:val="0"/>
                <w:szCs w:val="21"/>
                <w:highlight w:val="none"/>
                <w:u w:val="none"/>
                <w:lang w:eastAsia="zh-CN"/>
              </w:rPr>
              <w:t>》</w:t>
            </w:r>
            <w:r>
              <w:rPr>
                <w:rFonts w:hint="eastAsia" w:ascii="楷体" w:hAnsi="楷体" w:eastAsia="楷体" w:cs="楷体"/>
                <w:b/>
                <w:bCs/>
                <w:szCs w:val="21"/>
                <w:highlight w:val="none"/>
                <w:u w:val="none"/>
              </w:rPr>
              <w:t>“产品的收益、费用及税费”。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4" w:hRule="atLeast"/>
        </w:trPr>
        <w:tc>
          <w:tcPr>
            <w:tcW w:w="2376" w:type="dxa"/>
            <w:vAlign w:val="center"/>
          </w:tcPr>
          <w:p>
            <w:pPr>
              <w:rPr>
                <w:rFonts w:hint="eastAsia" w:ascii="楷体" w:hAnsi="楷体" w:eastAsia="楷体" w:cs="楷体"/>
                <w:b/>
                <w:bCs/>
                <w:color w:val="auto"/>
                <w:highlight w:val="none"/>
                <w:u w:val="none"/>
                <w:lang w:val="en-US" w:eastAsia="zh-CN"/>
              </w:rPr>
            </w:pPr>
            <w:r>
              <w:rPr>
                <w:rFonts w:hint="eastAsia" w:ascii="楷体" w:hAnsi="楷体" w:eastAsia="楷体" w:cs="楷体"/>
                <w:b/>
                <w:bCs/>
                <w:color w:val="auto"/>
                <w:highlight w:val="none"/>
                <w:u w:val="none"/>
                <w:lang w:val="en-US" w:eastAsia="zh-CN"/>
              </w:rPr>
              <w:t>收益计算基础</w:t>
            </w:r>
          </w:p>
        </w:tc>
        <w:tc>
          <w:tcPr>
            <w:tcW w:w="6146" w:type="dxa"/>
            <w:vAlign w:val="top"/>
          </w:tcPr>
          <w:p>
            <w:pPr>
              <w:numPr>
                <w:ilvl w:val="12"/>
                <w:numId w:val="0"/>
              </w:numPr>
              <w:ind w:left="0" w:leftChars="0" w:firstLine="0" w:firstLineChars="0"/>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lang w:val="en-US" w:eastAsia="zh-CN"/>
              </w:rPr>
              <w:t>365天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u w:val="none"/>
              </w:rPr>
              <w:t>其他税费</w:t>
            </w:r>
          </w:p>
        </w:tc>
        <w:tc>
          <w:tcPr>
            <w:tcW w:w="6146" w:type="dxa"/>
            <w:vAlign w:val="top"/>
          </w:tcPr>
          <w:p>
            <w:pPr>
              <w:rPr>
                <w:rFonts w:hint="eastAsia" w:ascii="楷体" w:hAnsi="楷体" w:eastAsia="楷体" w:cs="楷体"/>
                <w:b w:val="0"/>
                <w:bCs w:val="0"/>
                <w:szCs w:val="21"/>
                <w:highlight w:val="none"/>
                <w:u w:val="none"/>
              </w:rPr>
            </w:pPr>
            <w:r>
              <w:rPr>
                <w:rFonts w:hint="eastAsia" w:ascii="楷体" w:hAnsi="楷体" w:eastAsia="楷体" w:cs="楷体"/>
                <w:b w:val="0"/>
                <w:bCs w:val="0"/>
                <w:u w:val="none"/>
              </w:rPr>
              <w:t>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u w:val="none"/>
                <w:lang w:val="en-US" w:eastAsia="zh-CN"/>
              </w:rPr>
              <w:t>理财</w:t>
            </w:r>
            <w:r>
              <w:rPr>
                <w:rFonts w:hint="eastAsia" w:ascii="楷体" w:hAnsi="楷体" w:eastAsia="楷体" w:cs="楷体"/>
                <w:b/>
                <w:bCs/>
                <w:u w:val="none"/>
              </w:rPr>
              <w:t>产品管理人</w:t>
            </w:r>
          </w:p>
        </w:tc>
        <w:tc>
          <w:tcPr>
            <w:tcW w:w="6146" w:type="dxa"/>
            <w:vAlign w:val="top"/>
          </w:tcPr>
          <w:p>
            <w:pPr>
              <w:rPr>
                <w:rFonts w:hint="eastAsia" w:ascii="楷体" w:hAnsi="楷体" w:eastAsia="楷体" w:cs="楷体"/>
                <w:b w:val="0"/>
                <w:bCs w:val="0"/>
                <w:szCs w:val="21"/>
                <w:highlight w:val="none"/>
                <w:u w:val="none"/>
              </w:rPr>
            </w:pPr>
            <w:r>
              <w:rPr>
                <w:rFonts w:hint="eastAsia" w:ascii="楷体" w:hAnsi="楷体" w:eastAsia="楷体" w:cs="楷体"/>
                <w:b w:val="0"/>
                <w:bCs w:val="0"/>
                <w:u w:val="none"/>
              </w:rPr>
              <w:t>上银理财有限责任公司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u w:val="none"/>
                <w:lang w:val="en-US" w:eastAsia="zh-CN"/>
              </w:rPr>
              <w:t>理财</w:t>
            </w:r>
            <w:r>
              <w:rPr>
                <w:rFonts w:hint="eastAsia" w:ascii="楷体" w:hAnsi="楷体" w:eastAsia="楷体" w:cs="楷体"/>
                <w:b/>
                <w:bCs/>
                <w:u w:val="none"/>
              </w:rPr>
              <w:t>产品托管人</w:t>
            </w:r>
          </w:p>
        </w:tc>
        <w:tc>
          <w:tcPr>
            <w:tcW w:w="6146" w:type="dxa"/>
            <w:vAlign w:val="top"/>
          </w:tcPr>
          <w:p>
            <w:pP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u w:val="none"/>
                <w:lang w:eastAsia="zh-CN"/>
              </w:rPr>
              <w:t>【上海银行股份有限公司】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szCs w:val="21"/>
                <w:u w:val="none"/>
              </w:rPr>
              <w:t>销售机构</w:t>
            </w:r>
          </w:p>
        </w:tc>
        <w:tc>
          <w:tcPr>
            <w:tcW w:w="6146" w:type="dxa"/>
            <w:vAlign w:val="top"/>
          </w:tcPr>
          <w:p>
            <w:pP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u w:val="none"/>
                <w:lang w:eastAsia="zh-CN"/>
              </w:rPr>
              <w:t>【浙江德清农村商业银行股份有限公司、重庆富民银行股份有限公司】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u w:val="none"/>
                <w:lang w:val="en-US" w:eastAsia="zh-CN"/>
              </w:rPr>
            </w:pPr>
            <w:r>
              <w:rPr>
                <w:rFonts w:hint="eastAsia" w:ascii="楷体" w:hAnsi="楷体" w:eastAsia="楷体" w:cs="楷体"/>
                <w:b/>
                <w:bCs/>
                <w:szCs w:val="21"/>
                <w:u w:val="none"/>
              </w:rPr>
              <w:t>其他规定</w:t>
            </w:r>
          </w:p>
        </w:tc>
        <w:tc>
          <w:tcPr>
            <w:tcW w:w="6146" w:type="dxa"/>
            <w:vAlign w:val="center"/>
          </w:tcPr>
          <w:p>
            <w:pPr>
              <w:rPr>
                <w:rFonts w:hint="eastAsia" w:ascii="楷体" w:hAnsi="楷体" w:eastAsia="楷体" w:cs="楷体"/>
                <w:b w:val="0"/>
                <w:bCs w:val="0"/>
                <w:szCs w:val="21"/>
                <w:highlight w:val="none"/>
                <w:u w:val="none"/>
              </w:rPr>
            </w:pPr>
            <w:r>
              <w:rPr>
                <w:rFonts w:hint="eastAsia" w:ascii="楷体" w:hAnsi="楷体" w:eastAsia="楷体" w:cs="楷体"/>
                <w:b w:val="0"/>
                <w:bCs w:val="0"/>
                <w:u w:val="none"/>
              </w:rPr>
              <w:t>投资者在募集期内认购本理财产品被受理后，销售机构有权冻结或预扣认购款项，冻结或预扣期间管理人不向投资者计付利息，销售机构是否计付利息以销售机构计息规则为准</w:t>
            </w:r>
            <w:r>
              <w:rPr>
                <w:rFonts w:hint="eastAsia" w:ascii="楷体" w:hAnsi="楷体" w:eastAsia="楷体" w:cs="楷体"/>
                <w:b w:val="0"/>
                <w:bCs w:val="0"/>
                <w:u w:val="none"/>
                <w:lang w:eastAsia="zh-CN"/>
              </w:rPr>
              <w:t>，</w:t>
            </w:r>
            <w:r>
              <w:rPr>
                <w:rFonts w:hint="eastAsia" w:ascii="楷体" w:hAnsi="楷体" w:eastAsia="楷体" w:cs="楷体"/>
                <w:b w:val="0"/>
                <w:bCs w:val="0"/>
                <w:u w:val="none"/>
              </w:rPr>
              <w:t>利息部分不计入认购本金</w:t>
            </w:r>
            <w:r>
              <w:rPr>
                <w:rFonts w:hint="eastAsia" w:ascii="楷体" w:hAnsi="楷体" w:eastAsia="楷体" w:cs="楷体"/>
                <w:b w:val="0"/>
                <w:bCs w:val="0"/>
                <w:u w:val="none"/>
                <w:lang w:eastAsia="zh-CN"/>
              </w:rPr>
              <w:t>。</w:t>
            </w:r>
          </w:p>
        </w:tc>
      </w:tr>
    </w:tbl>
    <w:p>
      <w:pPr>
        <w:pStyle w:val="2"/>
        <w:spacing w:before="120" w:after="120" w:line="240" w:lineRule="auto"/>
        <w:rPr>
          <w:rFonts w:ascii="楷体" w:hAnsi="楷体" w:eastAsia="楷体"/>
          <w:sz w:val="28"/>
          <w:szCs w:val="28"/>
          <w:u w:val="none"/>
        </w:rPr>
      </w:pPr>
      <w:bookmarkStart w:id="11" w:name="_Toc98680958"/>
      <w:r>
        <w:rPr>
          <w:rFonts w:hint="eastAsia" w:ascii="楷体" w:hAnsi="楷体" w:eastAsia="楷体"/>
          <w:sz w:val="28"/>
          <w:szCs w:val="28"/>
          <w:u w:val="none"/>
          <w:lang w:val="en-US" w:eastAsia="zh-CN"/>
        </w:rPr>
        <w:t>四</w:t>
      </w:r>
      <w:r>
        <w:rPr>
          <w:rFonts w:ascii="楷体" w:hAnsi="楷体" w:eastAsia="楷体"/>
          <w:sz w:val="28"/>
          <w:szCs w:val="28"/>
          <w:u w:val="none"/>
        </w:rPr>
        <w:t>、</w:t>
      </w:r>
      <w:bookmarkEnd w:id="11"/>
      <w:r>
        <w:rPr>
          <w:rFonts w:hint="eastAsia" w:ascii="楷体" w:hAnsi="楷体" w:eastAsia="楷体"/>
          <w:sz w:val="28"/>
          <w:szCs w:val="28"/>
          <w:u w:val="none"/>
        </w:rPr>
        <w:t>投资目标、</w:t>
      </w:r>
      <w:r>
        <w:rPr>
          <w:rFonts w:ascii="楷体" w:hAnsi="楷体" w:eastAsia="楷体"/>
          <w:sz w:val="28"/>
          <w:szCs w:val="28"/>
          <w:u w:val="none"/>
        </w:rPr>
        <w:t>范围和比例</w:t>
      </w:r>
    </w:p>
    <w:p>
      <w:pPr>
        <w:pStyle w:val="3"/>
        <w:adjustRightInd w:val="0"/>
        <w:snapToGrid w:val="0"/>
        <w:spacing w:before="0" w:after="0" w:line="360" w:lineRule="auto"/>
        <w:ind w:firstLine="422" w:firstLineChars="200"/>
        <w:rPr>
          <w:rFonts w:hint="eastAsia" w:ascii="楷体" w:hAnsi="楷体" w:eastAsia="楷体" w:cs="楷体"/>
          <w:color w:val="000000"/>
          <w:kern w:val="0"/>
          <w:sz w:val="21"/>
          <w:u w:val="none"/>
        </w:rPr>
      </w:pPr>
      <w:bookmarkStart w:id="12" w:name="_Toc98680959"/>
      <w:r>
        <w:rPr>
          <w:rFonts w:hint="eastAsia" w:ascii="楷体" w:hAnsi="楷体" w:eastAsia="楷体" w:cs="楷体"/>
          <w:color w:val="000000"/>
          <w:kern w:val="0"/>
          <w:sz w:val="21"/>
          <w:u w:val="none"/>
        </w:rPr>
        <w:t>（一）投资目标</w:t>
      </w:r>
    </w:p>
    <w:p>
      <w:pPr>
        <w:pStyle w:val="9"/>
        <w:widowControl/>
        <w:adjustRightInd w:val="0"/>
        <w:snapToGrid w:val="0"/>
        <w:spacing w:before="120" w:beforeAutospacing="0" w:after="120" w:afterAutospacing="0" w:line="360" w:lineRule="auto"/>
        <w:ind w:firstLine="409" w:firstLineChars="195"/>
        <w:rPr>
          <w:rFonts w:hint="eastAsia" w:ascii="楷体" w:hAnsi="楷体" w:eastAsia="楷体" w:cs="楷体"/>
          <w:kern w:val="2"/>
          <w:sz w:val="21"/>
          <w:szCs w:val="21"/>
          <w:u w:val="none"/>
        </w:rPr>
      </w:pPr>
      <w:r>
        <w:rPr>
          <w:rFonts w:hint="eastAsia" w:ascii="楷体" w:hAnsi="楷体" w:eastAsia="楷体" w:cs="楷体"/>
          <w:kern w:val="2"/>
          <w:sz w:val="21"/>
          <w:szCs w:val="21"/>
          <w:u w:val="none"/>
        </w:rPr>
        <w:t>本理财产品主要投资于固定收益类资产。本理财产品将结合宏观经济走势、利率走势的判断，加强信用风险把控，做好固定收益类资产的配置，力争为投资者创造资产的稳健增值。</w:t>
      </w:r>
    </w:p>
    <w:p>
      <w:pPr>
        <w:pStyle w:val="3"/>
        <w:adjustRightInd w:val="0"/>
        <w:snapToGrid w:val="0"/>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（二）投资范围</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产品管理人以发行本理财产品所募集的资金，</w:t>
      </w:r>
      <w:r>
        <w:rPr>
          <w:rFonts w:hint="eastAsia" w:ascii="楷体" w:hAnsi="楷体" w:eastAsia="楷体" w:cs="楷体"/>
          <w:szCs w:val="21"/>
          <w:u w:val="none"/>
          <w:lang w:val="en-US" w:eastAsia="zh-CN"/>
        </w:rPr>
        <w:t>直接或通过资产管理产品</w:t>
      </w:r>
      <w:r>
        <w:rPr>
          <w:rFonts w:hint="eastAsia" w:ascii="楷体" w:hAnsi="楷体" w:eastAsia="楷体" w:cs="楷体"/>
          <w:szCs w:val="21"/>
          <w:u w:val="none"/>
        </w:rPr>
        <w:t>投资于各类资产，包括但不限于：</w:t>
      </w:r>
    </w:p>
    <w:p>
      <w:pPr>
        <w:snapToGrid w:val="0"/>
        <w:spacing w:line="360" w:lineRule="auto"/>
        <w:ind w:firstLine="420" w:firstLineChars="200"/>
        <w:rPr>
          <w:rFonts w:hint="eastAsia" w:ascii="楷体" w:hAnsi="楷体" w:eastAsia="楷体" w:cs="楷体"/>
          <w:szCs w:val="21"/>
          <w:u w:val="none"/>
          <w:lang w:val="en-US" w:eastAsia="zh-CN"/>
        </w:rPr>
      </w:pPr>
      <w:r>
        <w:rPr>
          <w:rFonts w:hint="eastAsia" w:ascii="楷体" w:hAnsi="楷体" w:eastAsia="楷体" w:cs="楷体"/>
          <w:szCs w:val="21"/>
          <w:u w:val="none"/>
          <w:lang w:val="en-US" w:eastAsia="zh-CN"/>
        </w:rPr>
        <w:t>1、</w:t>
      </w:r>
      <w:r>
        <w:rPr>
          <w:rFonts w:hint="eastAsia" w:ascii="楷体" w:hAnsi="楷体" w:eastAsia="楷体" w:cs="楷体"/>
          <w:color w:val="auto"/>
          <w:sz w:val="21"/>
          <w:szCs w:val="21"/>
          <w:u w:val="none"/>
        </w:rPr>
        <w:t>固定收益类资产</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货币市场工具：现金、银行存款、大额存单、资金拆借、债券回购、货币基金等。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标准化债权资产：国债、央票、企业债、金融债、政策性金融债、同业存单、次级债、资产支持证券、地方政府债、中期票据、短期融资券、超短期融资券、公司债、私募债、债权性质的永续债、资本补充债券、可转换债券、可交换债券、非公开定向债务融资工具(PPN)、二级资本债、债券型基金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lang w:val="en-US" w:eastAsia="zh-CN"/>
        </w:rPr>
        <w:t>2、</w:t>
      </w:r>
      <w:r>
        <w:rPr>
          <w:rFonts w:hint="eastAsia" w:ascii="楷体" w:hAnsi="楷体" w:eastAsia="楷体" w:cs="楷体"/>
          <w:b w:val="0"/>
          <w:bCs/>
          <w:szCs w:val="21"/>
          <w:u w:val="none"/>
        </w:rPr>
        <w:t>权益类资产</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股票（包括优先股）、股票型基金、混合型基金、权益性质的永续债等。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3、商品及金融衍生品类资产</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商品型基金、商品现货、商品期货、股指期货、国债期货、外汇期货、利率互换、收益互换、远期、掉期、期权、信用风险缓释工具、信用保护工具、债券借贷等各类衍生工具等。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szCs w:val="21"/>
          <w:u w:val="none"/>
          <w:lang w:val="en-US" w:eastAsia="zh-CN"/>
        </w:rPr>
        <w:t>注：</w:t>
      </w:r>
      <w:r>
        <w:rPr>
          <w:rFonts w:hint="eastAsia" w:ascii="楷体" w:hAnsi="楷体" w:eastAsia="楷体" w:cs="楷体"/>
          <w:b/>
          <w:bCs/>
          <w:szCs w:val="21"/>
          <w:u w:val="none"/>
          <w:lang w:val="en-US" w:eastAsia="zh-CN"/>
        </w:rPr>
        <w:t>理财产品投资于金融衍生品类资产前，需先获得相应的交易资格，根据获取资格类型开展相应的衍生品交易；</w:t>
      </w:r>
      <w:r>
        <w:rPr>
          <w:rFonts w:hint="eastAsia" w:ascii="楷体" w:hAnsi="楷体" w:eastAsia="楷体" w:cs="楷体"/>
          <w:b w:val="0"/>
          <w:bCs/>
          <w:szCs w:val="21"/>
          <w:u w:val="none"/>
        </w:rPr>
        <w:t>资产管理产品包括但不限于信托计划、证券公司及其资产管理公司资产管理计划、基金公司资产管理计划、保险资产管理公司投资计划、期货公司资产管理计划等。</w:t>
      </w:r>
    </w:p>
    <w:p>
      <w:pPr>
        <w:snapToGrid w:val="0"/>
        <w:spacing w:line="360" w:lineRule="auto"/>
        <w:ind w:firstLine="420" w:firstLineChars="200"/>
        <w:rPr>
          <w:rFonts w:hint="eastAsia" w:ascii="楷体" w:hAnsi="楷体" w:eastAsia="楷体" w:cs="楷体"/>
          <w:b w:val="0"/>
          <w:bCs/>
          <w:szCs w:val="21"/>
          <w:u w:val="none"/>
        </w:rPr>
      </w:pPr>
      <w:r>
        <w:rPr>
          <w:rFonts w:hint="eastAsia" w:ascii="楷体" w:hAnsi="楷体" w:eastAsia="楷体" w:cs="楷体"/>
          <w:b w:val="0"/>
          <w:bCs/>
          <w:szCs w:val="21"/>
          <w:u w:val="none"/>
        </w:rPr>
        <w:t>如存在法律法规或监管机构以后允许投资的其他品种，管理人在履行适当程序后，可以将其纳入投资范围。相关法律法规和监管部门对以上资产分类有另行规定的，管理人将按照监管最新规定执行并将以“信息披露”约定的形式向投资者告知。</w:t>
      </w:r>
    </w:p>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在遵守相关法律法规、监管规则及本《产品说明书》约定，避免不公平交易、利益输送等违法违规行为的前提下，投资者知晓并同意本理财产品的投资对象可能包括理财产品管理人/托管人及其关联方或重大利害关系人发行、承销、管理的符合本理财产品投资范围规定的投资品种。本产品实际发生的关联交易（无论是否在上述列举范围内）以管理人按照相关法律法规、规章和监管规定进行的相关披露为准。 </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（三）投资比例</w:t>
      </w:r>
    </w:p>
    <w:p>
      <w:pPr>
        <w:snapToGrid w:val="0"/>
        <w:spacing w:line="360" w:lineRule="auto"/>
        <w:ind w:firstLine="420" w:firstLineChars="200"/>
        <w:rPr>
          <w:rFonts w:hint="eastAsia" w:ascii="楷体" w:hAnsi="楷体" w:eastAsia="楷体" w:cs="楷体"/>
          <w:color w:val="auto"/>
          <w:szCs w:val="21"/>
          <w:u w:val="none"/>
        </w:rPr>
      </w:pPr>
      <w:r>
        <w:rPr>
          <w:rFonts w:hint="eastAsia" w:ascii="楷体" w:hAnsi="楷体" w:eastAsia="楷体" w:cs="楷体"/>
          <w:color w:val="auto"/>
          <w:szCs w:val="21"/>
          <w:u w:val="none"/>
        </w:rPr>
        <w:t>各投资品种计划配置比例如下：</w:t>
      </w:r>
    </w:p>
    <w:tbl>
      <w:tblPr>
        <w:tblStyle w:val="10"/>
        <w:tblW w:w="8307" w:type="dxa"/>
        <w:tblInd w:w="421" w:type="dxa"/>
        <w:tblLayout w:type="fixed"/>
        <w:tblCellMar>
          <w:top w:w="38" w:type="dxa"/>
          <w:left w:w="108" w:type="dxa"/>
          <w:bottom w:w="0" w:type="dxa"/>
          <w:right w:w="115" w:type="dxa"/>
        </w:tblCellMar>
      </w:tblPr>
      <w:tblGrid>
        <w:gridCol w:w="3872"/>
        <w:gridCol w:w="4435"/>
      </w:tblGrid>
      <w:tr>
        <w:tblPrEx>
          <w:tblCellMar>
            <w:top w:w="38" w:type="dxa"/>
            <w:left w:w="108" w:type="dxa"/>
            <w:bottom w:w="0" w:type="dxa"/>
            <w:right w:w="115" w:type="dxa"/>
          </w:tblCellMar>
        </w:tblPrEx>
        <w:trPr>
          <w:trHeight w:val="367"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b/>
                <w:bCs/>
                <w:color w:val="auto"/>
                <w:sz w:val="21"/>
                <w:szCs w:val="21"/>
                <w:u w:val="none"/>
              </w:rPr>
            </w:pPr>
            <w:r>
              <w:rPr>
                <w:rFonts w:hint="eastAsia" w:ascii="楷体" w:hAnsi="楷体" w:eastAsia="楷体" w:cs="楷体"/>
                <w:b/>
                <w:bCs/>
                <w:color w:val="auto"/>
                <w:sz w:val="21"/>
                <w:szCs w:val="21"/>
                <w:u w:val="none"/>
              </w:rPr>
              <w:t>投资品种</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b/>
                <w:bCs/>
                <w:color w:val="auto"/>
                <w:sz w:val="21"/>
                <w:szCs w:val="21"/>
                <w:u w:val="none"/>
              </w:rPr>
            </w:pPr>
            <w:r>
              <w:rPr>
                <w:rFonts w:hint="eastAsia" w:ascii="楷体" w:hAnsi="楷体" w:eastAsia="楷体" w:cs="楷体"/>
                <w:b/>
                <w:bCs/>
                <w:color w:val="auto"/>
                <w:sz w:val="21"/>
                <w:szCs w:val="21"/>
                <w:u w:val="none"/>
              </w:rPr>
              <w:t>计划配置比例</w:t>
            </w:r>
          </w:p>
        </w:tc>
      </w:tr>
      <w:tr>
        <w:tblPrEx>
          <w:tblCellMar>
            <w:top w:w="38" w:type="dxa"/>
            <w:left w:w="108" w:type="dxa"/>
            <w:bottom w:w="0" w:type="dxa"/>
            <w:right w:w="115" w:type="dxa"/>
          </w:tblCellMar>
        </w:tblPrEx>
        <w:trPr>
          <w:trHeight w:val="367"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color w:val="auto"/>
                <w:sz w:val="21"/>
                <w:szCs w:val="21"/>
                <w:u w:val="none"/>
              </w:rPr>
            </w:pPr>
            <w:r>
              <w:rPr>
                <w:rFonts w:hint="eastAsia" w:ascii="楷体" w:hAnsi="楷体" w:eastAsia="楷体" w:cs="楷体"/>
                <w:color w:val="auto"/>
                <w:sz w:val="21"/>
                <w:szCs w:val="21"/>
                <w:u w:val="none"/>
              </w:rPr>
              <w:t>固定收益类资产：</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hint="eastAsia" w:ascii="楷体" w:hAnsi="楷体" w:eastAsia="楷体" w:cs="楷体"/>
                <w:color w:val="auto"/>
                <w:sz w:val="21"/>
                <w:szCs w:val="21"/>
                <w:u w:val="none"/>
                <w:lang w:eastAsia="zh-CN"/>
              </w:rPr>
            </w:pPr>
            <w:r>
              <w:rPr>
                <w:rFonts w:hint="eastAsia" w:ascii="楷体" w:hAnsi="楷体" w:eastAsia="楷体" w:cs="楷体"/>
                <w:color w:val="auto"/>
                <w:sz w:val="21"/>
                <w:szCs w:val="21"/>
                <w:u w:val="none"/>
              </w:rPr>
              <w:t>不低于80%</w:t>
            </w:r>
          </w:p>
        </w:tc>
      </w:tr>
      <w:tr>
        <w:tblPrEx>
          <w:tblCellMar>
            <w:top w:w="38" w:type="dxa"/>
            <w:left w:w="108" w:type="dxa"/>
            <w:bottom w:w="0" w:type="dxa"/>
            <w:right w:w="115" w:type="dxa"/>
          </w:tblCellMar>
        </w:tblPrEx>
        <w:trPr>
          <w:trHeight w:val="368"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color w:val="auto"/>
                <w:sz w:val="21"/>
                <w:szCs w:val="21"/>
                <w:u w:val="none"/>
              </w:rPr>
            </w:pPr>
            <w:r>
              <w:rPr>
                <w:rFonts w:hint="eastAsia" w:ascii="楷体" w:hAnsi="楷体" w:eastAsia="楷体" w:cs="楷体"/>
                <w:color w:val="auto"/>
                <w:sz w:val="21"/>
                <w:szCs w:val="21"/>
                <w:u w:val="none"/>
              </w:rPr>
              <w:t>其中：高流动性资产</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ascii="楷体" w:hAnsi="楷体" w:eastAsia="楷体" w:cs="楷体"/>
                <w:color w:val="auto"/>
                <w:sz w:val="21"/>
                <w:szCs w:val="21"/>
                <w:u w:val="none"/>
              </w:rPr>
            </w:pPr>
            <w:r>
              <w:rPr>
                <w:rFonts w:hint="eastAsia" w:ascii="楷体" w:hAnsi="楷体" w:eastAsia="楷体" w:cs="楷体"/>
                <w:color w:val="auto"/>
                <w:sz w:val="21"/>
                <w:szCs w:val="21"/>
                <w:u w:val="none"/>
              </w:rPr>
              <w:t>不低于5%</w:t>
            </w:r>
          </w:p>
        </w:tc>
      </w:tr>
      <w:tr>
        <w:tblPrEx>
          <w:tblCellMar>
            <w:top w:w="38" w:type="dxa"/>
            <w:left w:w="108" w:type="dxa"/>
            <w:bottom w:w="0" w:type="dxa"/>
            <w:right w:w="115" w:type="dxa"/>
          </w:tblCellMar>
        </w:tblPrEx>
        <w:trPr>
          <w:trHeight w:val="367" w:hRule="atLeast"/>
        </w:trPr>
        <w:tc>
          <w:tcPr>
            <w:tcW w:w="3872"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hint="eastAsia" w:ascii="楷体" w:hAnsi="楷体" w:eastAsia="楷体" w:cs="楷体"/>
                <w:color w:val="auto"/>
                <w:sz w:val="21"/>
                <w:szCs w:val="21"/>
                <w:u w:val="none"/>
                <w:lang w:eastAsia="zh-CN"/>
              </w:rPr>
            </w:pPr>
            <w:r>
              <w:rPr>
                <w:rFonts w:hint="eastAsia" w:ascii="楷体" w:hAnsi="楷体" w:eastAsia="楷体" w:cs="楷体"/>
                <w:color w:val="auto"/>
                <w:sz w:val="21"/>
                <w:szCs w:val="21"/>
                <w:u w:val="none"/>
              </w:rPr>
              <w:t>权益类资产、商品及金融衍生品类资产合计</w:t>
            </w:r>
            <w:r>
              <w:rPr>
                <w:rFonts w:hint="eastAsia" w:ascii="楷体" w:hAnsi="楷体" w:eastAsia="楷体" w:cs="楷体"/>
                <w:color w:val="auto"/>
                <w:sz w:val="21"/>
                <w:szCs w:val="21"/>
                <w:u w:val="none"/>
                <w:lang w:eastAsia="zh-CN"/>
              </w:rPr>
              <w:t>：</w:t>
            </w:r>
          </w:p>
        </w:tc>
        <w:tc>
          <w:tcPr>
            <w:tcW w:w="4435" w:type="dxa"/>
            <w:tcBorders>
              <w:top w:val="single" w:color="000000" w:sz="4" w:space="0"/>
              <w:left w:val="single" w:color="000000" w:sz="4" w:space="0"/>
              <w:bottom w:val="single" w:color="000000" w:sz="4" w:space="0"/>
              <w:right w:val="single" w:color="000000" w:sz="4" w:space="0"/>
            </w:tcBorders>
          </w:tcPr>
          <w:p>
            <w:pPr>
              <w:pStyle w:val="9"/>
              <w:widowControl/>
              <w:adjustRightInd w:val="0"/>
              <w:snapToGrid w:val="0"/>
              <w:spacing w:before="100" w:after="100"/>
              <w:rPr>
                <w:rFonts w:hint="eastAsia" w:ascii="楷体" w:hAnsi="楷体" w:eastAsia="楷体" w:cs="楷体"/>
                <w:color w:val="auto"/>
                <w:sz w:val="21"/>
                <w:szCs w:val="21"/>
                <w:u w:val="none"/>
                <w:lang w:val="en-US" w:eastAsia="zh-CN"/>
              </w:rPr>
            </w:pPr>
            <w:r>
              <w:rPr>
                <w:rFonts w:hint="eastAsia" w:ascii="楷体" w:hAnsi="楷体" w:eastAsia="楷体" w:cs="楷体"/>
                <w:color w:val="auto"/>
                <w:sz w:val="21"/>
                <w:szCs w:val="21"/>
                <w:u w:val="none"/>
              </w:rPr>
              <w:t>不高于</w:t>
            </w:r>
            <w:r>
              <w:rPr>
                <w:rFonts w:ascii="楷体" w:hAnsi="楷体" w:eastAsia="楷体" w:cs="楷体"/>
                <w:color w:val="auto"/>
                <w:sz w:val="21"/>
                <w:szCs w:val="21"/>
                <w:u w:val="none"/>
              </w:rPr>
              <w:t>2</w:t>
            </w:r>
            <w:r>
              <w:rPr>
                <w:rFonts w:hint="eastAsia" w:ascii="楷体" w:hAnsi="楷体" w:eastAsia="楷体" w:cs="楷体"/>
                <w:color w:val="auto"/>
                <w:sz w:val="21"/>
                <w:szCs w:val="21"/>
                <w:u w:val="none"/>
              </w:rPr>
              <w:t>0%</w:t>
            </w:r>
          </w:p>
        </w:tc>
      </w:tr>
    </w:tbl>
    <w:p>
      <w:pPr>
        <w:snapToGrid w:val="0"/>
        <w:spacing w:line="360" w:lineRule="auto"/>
        <w:ind w:firstLine="422" w:firstLineChars="200"/>
        <w:rPr>
          <w:rFonts w:hint="eastAsia" w:ascii="楷体" w:hAnsi="楷体" w:eastAsia="楷体" w:cs="楷体"/>
          <w:b/>
          <w:bCs/>
          <w:szCs w:val="21"/>
          <w:u w:val="none"/>
        </w:rPr>
      </w:pPr>
      <w:r>
        <w:rPr>
          <w:rFonts w:hint="eastAsia" w:ascii="楷体" w:hAnsi="楷体" w:eastAsia="楷体" w:cs="楷体"/>
          <w:b/>
          <w:bCs/>
          <w:szCs w:val="21"/>
          <w:u w:val="none"/>
        </w:rPr>
        <w:t>注：理财产品投资于金融衍生品类资产前，需先获得相应的交易资格，根据获取资格类型开展相应的衍生品交易。</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相关法律法规和监管部门对以上投资范围和配置比例有另行规定的，按照监管最新规定执行。如监管对投资比例无其他明确规定和要求的，由产品管理人与托管人协商确定计算方法。</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投资管理人应当自理财产品成立日起三个月内使理财产品的投资组合比例符合约定。非因管理人主观因素导致突破前述比例限制的，管理人将尽力在流动性受限资产可出售、可转让或者恢复交易的15个交易日内调整至符合相关要求。</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（四）投资策略</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通过综合分析宏观经济走势、财政与货币政策、利率波动与趋势、利率期限结构、信用风险和利差变化等因素，在符合产品投资范围和投资比例的前提下，综合考虑各类投资品种的收益性、流动性和风险特征，力争获得高于业绩比较基准的投资回报。</w:t>
      </w:r>
    </w:p>
    <w:p>
      <w:pPr>
        <w:snapToGrid w:val="0"/>
        <w:spacing w:line="360" w:lineRule="auto"/>
        <w:ind w:firstLine="420" w:firstLineChars="200"/>
        <w:outlineLvl w:val="2"/>
        <w:rPr>
          <w:rFonts w:hint="eastAsia" w:ascii="楷体" w:hAnsi="楷体" w:eastAsia="楷体" w:cs="楷体"/>
          <w:szCs w:val="21"/>
          <w:u w:val="none"/>
        </w:rPr>
      </w:pPr>
      <w:r>
        <w:rPr>
          <w:rFonts w:hint="eastAsia" w:ascii="楷体" w:hAnsi="楷体" w:eastAsia="楷体" w:cs="楷体"/>
          <w:szCs w:val="21"/>
          <w:u w:val="none"/>
        </w:rPr>
        <w:t>1.大类资产配置</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从宏观环境、政策因素、资金供求因素、证券市场基本面等角度进行综合分析，判断各类资产的市场趋势和预期风险收益，在严格控制风险的前提下，确定投资组合在债券、股票、基金、现金等资产类别的投资比例，并根据宏观经济形势和市场时机的变化适时进行动态调整。</w:t>
      </w:r>
    </w:p>
    <w:p>
      <w:pPr>
        <w:snapToGrid w:val="0"/>
        <w:spacing w:line="360" w:lineRule="auto"/>
        <w:ind w:firstLine="420" w:firstLineChars="200"/>
        <w:outlineLvl w:val="2"/>
        <w:rPr>
          <w:rFonts w:hint="eastAsia" w:ascii="楷体" w:hAnsi="楷体" w:eastAsia="楷体" w:cs="楷体"/>
          <w:szCs w:val="21"/>
          <w:u w:val="none"/>
        </w:rPr>
      </w:pPr>
      <w:r>
        <w:rPr>
          <w:rFonts w:hint="eastAsia" w:ascii="楷体" w:hAnsi="楷体" w:eastAsia="楷体" w:cs="楷体"/>
          <w:szCs w:val="21"/>
          <w:u w:val="none"/>
        </w:rPr>
        <w:t>2</w:t>
      </w:r>
      <w:r>
        <w:rPr>
          <w:rFonts w:hint="eastAsia" w:ascii="楷体" w:hAnsi="楷体" w:eastAsia="楷体" w:cs="楷体"/>
          <w:szCs w:val="21"/>
          <w:u w:val="none"/>
          <w:lang w:eastAsia="zh-CN"/>
        </w:rPr>
        <w:t>.</w:t>
      </w:r>
      <w:r>
        <w:rPr>
          <w:rFonts w:hint="eastAsia" w:ascii="楷体" w:hAnsi="楷体" w:eastAsia="楷体" w:cs="楷体"/>
          <w:szCs w:val="21"/>
          <w:u w:val="none"/>
        </w:rPr>
        <w:t>利率预期策略与组合久期管理</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通过对宏观经济走势的研究，对市场利率波动与趋势做出预期和判断，并在综合考虑组合流动性的前提下，调整组合的资产配置久期。</w:t>
      </w:r>
    </w:p>
    <w:p>
      <w:pPr>
        <w:snapToGrid w:val="0"/>
        <w:spacing w:line="360" w:lineRule="auto"/>
        <w:ind w:firstLine="420" w:firstLineChars="200"/>
        <w:outlineLvl w:val="2"/>
        <w:rPr>
          <w:rFonts w:hint="eastAsia" w:ascii="楷体" w:hAnsi="楷体" w:eastAsia="楷体" w:cs="楷体"/>
          <w:szCs w:val="21"/>
          <w:u w:val="none"/>
        </w:rPr>
      </w:pPr>
      <w:r>
        <w:rPr>
          <w:rFonts w:hint="eastAsia" w:ascii="楷体" w:hAnsi="楷体" w:eastAsia="楷体" w:cs="楷体"/>
          <w:szCs w:val="21"/>
          <w:u w:val="none"/>
        </w:rPr>
        <w:t>3</w:t>
      </w:r>
      <w:r>
        <w:rPr>
          <w:rFonts w:hint="eastAsia" w:ascii="楷体" w:hAnsi="楷体" w:eastAsia="楷体" w:cs="楷体"/>
          <w:szCs w:val="21"/>
          <w:u w:val="none"/>
          <w:lang w:eastAsia="zh-CN"/>
        </w:rPr>
        <w:t>.</w:t>
      </w:r>
      <w:r>
        <w:rPr>
          <w:rFonts w:hint="eastAsia" w:ascii="楷体" w:hAnsi="楷体" w:eastAsia="楷体" w:cs="楷体"/>
          <w:szCs w:val="21"/>
          <w:u w:val="none"/>
        </w:rPr>
        <w:t>交易策略</w:t>
      </w:r>
    </w:p>
    <w:p>
      <w:pPr>
        <w:snapToGrid w:val="0"/>
        <w:spacing w:line="360" w:lineRule="auto"/>
        <w:ind w:firstLine="420" w:firstLineChars="200"/>
        <w:rPr>
          <w:rFonts w:hint="eastAsia" w:ascii="楷体" w:hAnsi="楷体" w:eastAsia="楷体" w:cs="楷体"/>
          <w:szCs w:val="21"/>
          <w:u w:val="none"/>
        </w:rPr>
      </w:pPr>
      <w:r>
        <w:rPr>
          <w:rFonts w:hint="eastAsia" w:ascii="楷体" w:hAnsi="楷体" w:eastAsia="楷体" w:cs="楷体"/>
          <w:szCs w:val="21"/>
          <w:u w:val="none"/>
        </w:rPr>
        <w:t>根据对市场利率波动与趋势的判断选取高流动性的金融工具进行波段交易，以期获得交易性收益。</w:t>
      </w:r>
    </w:p>
    <w:p>
      <w:pPr>
        <w:pStyle w:val="3"/>
        <w:keepNext w:val="0"/>
        <w:keepLines w:val="0"/>
        <w:widowControl/>
        <w:numPr>
          <w:ilvl w:val="0"/>
          <w:numId w:val="4"/>
        </w:numPr>
        <w:snapToGrid w:val="0"/>
        <w:spacing w:before="0" w:after="0" w:line="360" w:lineRule="auto"/>
        <w:ind w:firstLine="422" w:firstLineChars="200"/>
        <w:rPr>
          <w:rFonts w:ascii="楷体" w:hAnsi="楷体" w:eastAsia="楷体"/>
          <w:sz w:val="21"/>
          <w:highlight w:val="none"/>
          <w:u w:val="none"/>
        </w:rPr>
      </w:pPr>
      <w:r>
        <w:rPr>
          <w:rFonts w:hint="eastAsia" w:ascii="楷体" w:hAnsi="楷体" w:eastAsia="楷体"/>
          <w:color w:val="000000"/>
          <w:sz w:val="21"/>
          <w:highlight w:val="none"/>
          <w:u w:val="none"/>
        </w:rPr>
        <w:t> 投资限制 </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1.对本产品的</w:t>
      </w:r>
      <w:r>
        <w:rPr>
          <w:rFonts w:hint="eastAsia" w:ascii="楷体" w:hAnsi="楷体" w:eastAsia="楷体" w:cs="楷体"/>
          <w:szCs w:val="21"/>
          <w:highlight w:val="none"/>
          <w:u w:val="none"/>
          <w:lang w:val="en-US" w:eastAsia="zh-CN"/>
        </w:rPr>
        <w:t>投资限制</w:t>
      </w:r>
      <w:r>
        <w:rPr>
          <w:rFonts w:hint="eastAsia" w:ascii="楷体" w:hAnsi="楷体" w:eastAsia="楷体" w:cs="楷体"/>
          <w:szCs w:val="21"/>
          <w:highlight w:val="none"/>
          <w:u w:val="none"/>
        </w:rPr>
        <w:t>如下：</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（1）本理财产品投资于单只证券、单只公募证券投资基金的市值不超过本产品</w:t>
      </w:r>
      <w:r>
        <w:rPr>
          <w:rFonts w:hint="eastAsia" w:ascii="楷体" w:hAnsi="楷体" w:eastAsia="楷体" w:cs="楷体"/>
          <w:szCs w:val="21"/>
          <w:highlight w:val="none"/>
          <w:u w:val="none"/>
          <w:lang w:val="en-US" w:eastAsia="zh-CN"/>
        </w:rPr>
        <w:t>净</w:t>
      </w:r>
      <w:r>
        <w:rPr>
          <w:rFonts w:hint="eastAsia" w:ascii="楷体" w:hAnsi="楷体" w:eastAsia="楷体" w:cs="楷体"/>
          <w:szCs w:val="21"/>
          <w:highlight w:val="none"/>
          <w:u w:val="none"/>
        </w:rPr>
        <w:t>资产的10%。</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2）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rPr>
        <w:t>（3）管理人发行的全部理财产品投资单一上市公司发行的股票不得超过该上市公司可流通股票的30%。</w:t>
      </w:r>
    </w:p>
    <w:p>
      <w:pPr>
        <w:snapToGrid w:val="0"/>
        <w:spacing w:line="360" w:lineRule="auto"/>
        <w:ind w:firstLine="420" w:firstLineChars="200"/>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eastAsia="zh-CN"/>
        </w:rPr>
        <w:t>（</w:t>
      </w:r>
      <w:r>
        <w:rPr>
          <w:rFonts w:hint="eastAsia" w:ascii="楷体" w:hAnsi="楷体" w:eastAsia="楷体" w:cs="楷体"/>
          <w:szCs w:val="21"/>
          <w:highlight w:val="none"/>
          <w:u w:val="none"/>
          <w:lang w:val="en-US" w:eastAsia="zh-CN"/>
        </w:rPr>
        <w:t>4</w:t>
      </w:r>
      <w:r>
        <w:rPr>
          <w:rFonts w:hint="eastAsia" w:ascii="楷体" w:hAnsi="楷体" w:eastAsia="楷体" w:cs="楷体"/>
          <w:szCs w:val="21"/>
          <w:highlight w:val="none"/>
          <w:u w:val="none"/>
          <w:lang w:eastAsia="zh-CN"/>
        </w:rPr>
        <w:t>）本理财产品持有高流动性资产比例不低于本产品净资产的5%。</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lang w:val="en-US" w:eastAsia="zh-CN"/>
        </w:rPr>
        <w:t>（5）本理财产品直接投资于流动性受限资产的市值在开放日不得超过本产品净资产的15%。</w:t>
      </w:r>
    </w:p>
    <w:p>
      <w:pPr>
        <w:snapToGrid w:val="0"/>
        <w:spacing w:line="360" w:lineRule="auto"/>
        <w:ind w:firstLine="420" w:firstLineChars="200"/>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val="en-US" w:eastAsia="zh-CN"/>
        </w:rPr>
        <w:t>（6）本理财产品投资不存在活跃交易市场并且需要采用估值技术确定公允价值的资产比例不得达到或超过本产品净资产的50%。</w:t>
      </w:r>
    </w:p>
    <w:p>
      <w:pPr>
        <w:snapToGrid w:val="0"/>
        <w:spacing w:line="360" w:lineRule="auto"/>
        <w:ind w:firstLine="420" w:firstLineChars="200"/>
        <w:rPr>
          <w:rFonts w:hint="eastAsia" w:ascii="楷体" w:hAnsi="楷体" w:eastAsia="楷体" w:cs="楷体"/>
          <w:szCs w:val="21"/>
          <w:highlight w:val="none"/>
          <w:u w:val="none"/>
        </w:rPr>
      </w:pPr>
      <w:r>
        <w:rPr>
          <w:rFonts w:hint="eastAsia" w:ascii="楷体" w:hAnsi="楷体" w:eastAsia="楷体" w:cs="楷体"/>
          <w:szCs w:val="21"/>
          <w:highlight w:val="none"/>
          <w:u w:val="none"/>
          <w:lang w:val="en-US" w:eastAsia="zh-CN"/>
        </w:rPr>
        <w:t>（7）在开放日前一工作日内，本理财产品7个工作日可变现资产的可变现价值应当不低于本产品净资产的10%。</w:t>
      </w:r>
    </w:p>
    <w:p>
      <w:pPr>
        <w:spacing w:line="360" w:lineRule="auto"/>
        <w:ind w:firstLine="420" w:firstLineChars="200"/>
        <w:contextualSpacing/>
        <w:rPr>
          <w:rFonts w:hint="eastAsia" w:ascii="楷体" w:hAnsi="楷体" w:eastAsia="楷体" w:cs="楷体"/>
          <w:szCs w:val="21"/>
          <w:highlight w:val="none"/>
          <w:u w:val="none"/>
        </w:rPr>
      </w:pPr>
      <w:r>
        <w:rPr>
          <w:rFonts w:hint="eastAsia" w:ascii="楷体" w:hAnsi="楷体" w:eastAsia="楷体" w:cs="楷体"/>
          <w:szCs w:val="21"/>
          <w:highlight w:val="none"/>
          <w:u w:val="none"/>
          <w:lang w:val="en-US" w:eastAsia="zh-CN"/>
        </w:rPr>
        <w:t>针对上述第1</w:t>
      </w:r>
      <w:r>
        <w:rPr>
          <w:rFonts w:hint="eastAsia" w:ascii="楷体" w:hAnsi="楷体" w:eastAsia="楷体" w:cs="楷体"/>
          <w:szCs w:val="21"/>
        </w:rPr>
        <w:t>~</w:t>
      </w:r>
      <w:r>
        <w:rPr>
          <w:rFonts w:hint="eastAsia" w:ascii="楷体" w:hAnsi="楷体" w:eastAsia="楷体" w:cs="楷体"/>
          <w:szCs w:val="21"/>
          <w:highlight w:val="none"/>
          <w:u w:val="none"/>
          <w:lang w:val="en-US" w:eastAsia="zh-CN"/>
        </w:rPr>
        <w:t>3项，</w:t>
      </w:r>
      <w:r>
        <w:rPr>
          <w:rFonts w:hint="eastAsia" w:ascii="楷体" w:hAnsi="楷体" w:eastAsia="楷体" w:cs="楷体"/>
          <w:szCs w:val="21"/>
          <w:highlight w:val="none"/>
          <w:u w:val="none"/>
        </w:rPr>
        <w:t>非因管理人主观因素致使不符合前述比例限制的，管理人将在流动性受限资产可出售、可转让或者恢复交易的10个交易日内调整至符合相关要求。</w:t>
      </w:r>
    </w:p>
    <w:p>
      <w:pPr>
        <w:spacing w:line="360" w:lineRule="auto"/>
        <w:ind w:firstLine="420" w:firstLineChars="200"/>
        <w:contextualSpacing/>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val="en-US" w:eastAsia="zh-CN"/>
        </w:rPr>
        <w:t>针对上述第5项，因证券市场波动、上市公司股票停牌、理财产品规模变动等因素导致理财产品不符合本条规定比例限制的，该理财产品不得主动新增投资流动性受限资产。</w:t>
      </w:r>
    </w:p>
    <w:p>
      <w:pPr>
        <w:spacing w:line="360" w:lineRule="auto"/>
        <w:ind w:firstLine="420" w:firstLineChars="200"/>
        <w:contextualSpacing/>
        <w:rPr>
          <w:rFonts w:hint="eastAsia" w:ascii="楷体" w:hAnsi="楷体" w:eastAsia="楷体" w:cs="楷体"/>
          <w:szCs w:val="21"/>
          <w:highlight w:val="none"/>
          <w:u w:val="none"/>
          <w:lang w:val="en-US" w:eastAsia="zh-CN"/>
        </w:rPr>
      </w:pPr>
      <w:r>
        <w:rPr>
          <w:rFonts w:hint="eastAsia" w:ascii="楷体" w:hAnsi="楷体" w:eastAsia="楷体" w:cs="楷体"/>
          <w:szCs w:val="21"/>
          <w:highlight w:val="none"/>
          <w:u w:val="none"/>
          <w:lang w:val="en-US" w:eastAsia="zh-CN"/>
        </w:rPr>
        <w:t>针对上述第6项，非因管理人主观因素导致突破前款规定比例限制的,本理财产品不得新增投资上述资产。</w:t>
      </w:r>
    </w:p>
    <w:p>
      <w:pPr>
        <w:spacing w:line="360" w:lineRule="auto"/>
        <w:ind w:firstLine="420" w:firstLineChars="200"/>
        <w:contextualSpacing/>
        <w:rPr>
          <w:rFonts w:hint="eastAsia" w:ascii="楷体" w:hAnsi="楷体" w:eastAsia="楷体" w:cs="楷体"/>
          <w:szCs w:val="21"/>
          <w:highlight w:val="none"/>
          <w:u w:val="none"/>
        </w:rPr>
      </w:pPr>
      <w:r>
        <w:rPr>
          <w:rFonts w:hint="eastAsia" w:ascii="楷体" w:hAnsi="楷体" w:eastAsia="楷体" w:cs="楷体"/>
          <w:szCs w:val="21"/>
          <w:highlight w:val="none"/>
          <w:u w:val="none"/>
        </w:rPr>
        <w:t>2.本理财产品总资产/理财产品</w:t>
      </w:r>
      <w:r>
        <w:rPr>
          <w:rFonts w:hint="eastAsia" w:ascii="楷体" w:hAnsi="楷体" w:eastAsia="楷体" w:cs="楷体"/>
          <w:szCs w:val="21"/>
          <w:highlight w:val="none"/>
          <w:u w:val="none"/>
          <w:lang w:val="en-US" w:eastAsia="zh-CN"/>
        </w:rPr>
        <w:t>净</w:t>
      </w:r>
      <w:r>
        <w:rPr>
          <w:rFonts w:hint="eastAsia" w:ascii="楷体" w:hAnsi="楷体" w:eastAsia="楷体" w:cs="楷体"/>
          <w:szCs w:val="21"/>
          <w:highlight w:val="none"/>
          <w:u w:val="none"/>
        </w:rPr>
        <w:t>资产不超过140%（如监管有最新规定的参照监管规定调整）。</w:t>
      </w:r>
    </w:p>
    <w:p>
      <w:pPr>
        <w:spacing w:line="360" w:lineRule="auto"/>
        <w:ind w:firstLine="420" w:firstLineChars="200"/>
        <w:contextualSpacing/>
        <w:rPr>
          <w:rFonts w:hint="eastAsia" w:ascii="楷体" w:hAnsi="楷体" w:eastAsia="楷体" w:cs="楷体"/>
          <w:szCs w:val="21"/>
          <w:highlight w:val="none"/>
          <w:u w:val="none"/>
        </w:rPr>
      </w:pPr>
      <w:r>
        <w:rPr>
          <w:rFonts w:hint="eastAsia" w:ascii="楷体" w:hAnsi="楷体" w:eastAsia="楷体" w:cs="楷体"/>
          <w:szCs w:val="21"/>
          <w:highlight w:val="none"/>
          <w:u w:val="none"/>
        </w:rPr>
        <w:t>3.本产品不得直接或间接投资于未上市企业股权及其受（收）益权。</w:t>
      </w:r>
    </w:p>
    <w:p>
      <w:pPr>
        <w:spacing w:line="360" w:lineRule="auto"/>
        <w:ind w:firstLine="420" w:firstLineChars="200"/>
        <w:contextualSpacing/>
        <w:rPr>
          <w:rFonts w:hint="eastAsia" w:ascii="楷体" w:hAnsi="楷体" w:eastAsia="楷体" w:cs="楷体"/>
          <w:b w:val="0"/>
          <w:bCs w:val="0"/>
          <w:color w:val="000000"/>
          <w:highlight w:val="none"/>
          <w:u w:val="none"/>
        </w:rPr>
      </w:pPr>
      <w:r>
        <w:rPr>
          <w:rFonts w:hint="eastAsia" w:ascii="楷体" w:hAnsi="楷体" w:eastAsia="楷体" w:cs="楷体"/>
          <w:b w:val="0"/>
          <w:bCs w:val="0"/>
          <w:szCs w:val="21"/>
          <w:highlight w:val="none"/>
          <w:u w:val="none"/>
        </w:rPr>
        <w:t>4.相关法律法规和监管部门对以上投资范围和配置比例有另行规定的，按照监管最新规定执行。</w:t>
      </w:r>
    </w:p>
    <w:bookmarkEnd w:id="12"/>
    <w:p>
      <w:pPr>
        <w:pStyle w:val="2"/>
        <w:spacing w:before="120" w:after="120" w:line="240" w:lineRule="auto"/>
        <w:rPr>
          <w:rFonts w:ascii="楷体" w:hAnsi="楷体" w:eastAsia="楷体"/>
          <w:sz w:val="28"/>
          <w:szCs w:val="28"/>
          <w:highlight w:val="none"/>
          <w:u w:val="none"/>
        </w:rPr>
      </w:pPr>
      <w:r>
        <w:rPr>
          <w:rFonts w:hint="eastAsia" w:ascii="楷体" w:hAnsi="楷体" w:eastAsia="楷体"/>
          <w:sz w:val="28"/>
          <w:szCs w:val="28"/>
          <w:highlight w:val="none"/>
          <w:u w:val="none"/>
          <w:lang w:val="en-US" w:eastAsia="zh-CN"/>
        </w:rPr>
        <w:t>五</w:t>
      </w:r>
      <w:r>
        <w:rPr>
          <w:rFonts w:ascii="楷体" w:hAnsi="楷体" w:eastAsia="楷体"/>
          <w:sz w:val="28"/>
          <w:szCs w:val="28"/>
          <w:highlight w:val="none"/>
          <w:u w:val="none"/>
        </w:rPr>
        <w:t>、</w:t>
      </w:r>
      <w:r>
        <w:rPr>
          <w:rFonts w:hint="eastAsia" w:ascii="楷体" w:hAnsi="楷体" w:eastAsia="楷体"/>
          <w:sz w:val="28"/>
          <w:szCs w:val="28"/>
          <w:highlight w:val="none"/>
          <w:u w:val="none"/>
        </w:rPr>
        <w:t>产品认购、申购和赎回</w:t>
      </w:r>
    </w:p>
    <w:p>
      <w:pPr>
        <w:pStyle w:val="3"/>
        <w:spacing w:before="0" w:after="0" w:line="360" w:lineRule="auto"/>
        <w:ind w:firstLine="422" w:firstLineChars="200"/>
        <w:rPr>
          <w:rFonts w:hint="eastAsia" w:ascii="楷体" w:hAnsi="楷体" w:eastAsia="楷体" w:cs="楷体"/>
          <w:sz w:val="21"/>
          <w:highlight w:val="none"/>
          <w:u w:val="none"/>
        </w:rPr>
      </w:pPr>
      <w:r>
        <w:rPr>
          <w:rFonts w:hint="eastAsia" w:ascii="楷体" w:hAnsi="楷体" w:eastAsia="楷体" w:cs="楷体"/>
          <w:sz w:val="21"/>
          <w:highlight w:val="none"/>
          <w:u w:val="none"/>
        </w:rPr>
        <w:t>（一）理财产品认购</w:t>
      </w:r>
    </w:p>
    <w:p>
      <w:pPr>
        <w:spacing w:line="360" w:lineRule="auto"/>
        <w:ind w:firstLine="420" w:firstLineChars="200"/>
        <w:contextualSpacing/>
        <w:outlineLvl w:val="2"/>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rPr>
        <w:t>1.</w:t>
      </w:r>
      <w:r>
        <w:rPr>
          <w:rFonts w:hint="eastAsia" w:ascii="楷体" w:hAnsi="楷体" w:eastAsia="楷体" w:cs="楷体"/>
          <w:b w:val="0"/>
          <w:bCs w:val="0"/>
          <w:szCs w:val="21"/>
          <w:highlight w:val="none"/>
          <w:u w:val="none"/>
          <w:lang w:val="en-US" w:eastAsia="zh-CN"/>
        </w:rPr>
        <w:t>认购期</w:t>
      </w:r>
    </w:p>
    <w:p>
      <w:pPr>
        <w:spacing w:line="360" w:lineRule="auto"/>
        <w:ind w:firstLine="420" w:firstLineChars="200"/>
        <w:contextualSpacing/>
        <w:rPr>
          <w:rFonts w:hint="eastAsia" w:ascii="楷体" w:hAnsi="楷体" w:eastAsia="楷体" w:cs="楷体"/>
          <w:b/>
          <w:bCs/>
          <w:color w:val="auto"/>
          <w:szCs w:val="21"/>
          <w:u w:val="none"/>
          <w:lang w:val="en-US" w:eastAsia="zh-CN"/>
        </w:rPr>
      </w:pPr>
      <w:r>
        <w:rPr>
          <w:rFonts w:hint="eastAsia" w:ascii="楷体" w:hAnsi="楷体" w:eastAsia="楷体" w:cs="楷体"/>
          <w:b w:val="0"/>
          <w:bCs w:val="0"/>
          <w:color w:val="auto"/>
          <w:highlight w:val="none"/>
          <w:u w:val="none"/>
          <w:lang w:val="en-US" w:eastAsia="zh-CN"/>
        </w:rPr>
        <w:t>本产品认购期为</w:t>
      </w:r>
      <w:r>
        <w:rPr>
          <w:rFonts w:hint="eastAsia" w:ascii="楷体" w:hAnsi="楷体" w:eastAsia="楷体" w:cs="楷体"/>
          <w:b w:val="0"/>
          <w:bCs w:val="0"/>
          <w:color w:val="auto"/>
          <w:highlight w:val="none"/>
          <w:u w:val="none"/>
          <w:lang w:eastAsia="zh-CN"/>
        </w:rPr>
        <w:t>【2026】</w:t>
      </w:r>
      <w:r>
        <w:rPr>
          <w:rFonts w:hint="eastAsia" w:ascii="楷体" w:hAnsi="楷体" w:eastAsia="楷体" w:cs="楷体"/>
          <w:b w:val="0"/>
          <w:bCs w:val="0"/>
          <w:color w:val="auto"/>
          <w:highlight w:val="none"/>
          <w:u w:val="none"/>
        </w:rPr>
        <w:t>年</w:t>
      </w:r>
      <w:r>
        <w:rPr>
          <w:rFonts w:hint="eastAsia" w:ascii="楷体" w:hAnsi="楷体" w:eastAsia="楷体" w:cs="楷体"/>
          <w:b w:val="0"/>
          <w:bCs w:val="0"/>
          <w:color w:val="auto"/>
          <w:highlight w:val="none"/>
          <w:u w:val="none"/>
          <w:lang w:eastAsia="zh-CN"/>
        </w:rPr>
        <w:t>【08】</w:t>
      </w:r>
      <w:r>
        <w:rPr>
          <w:rFonts w:hint="eastAsia" w:ascii="楷体" w:hAnsi="楷体" w:eastAsia="楷体" w:cs="楷体"/>
          <w:b w:val="0"/>
          <w:bCs w:val="0"/>
          <w:color w:val="auto"/>
          <w:highlight w:val="none"/>
          <w:u w:val="none"/>
        </w:rPr>
        <w:t>月</w:t>
      </w:r>
      <w:r>
        <w:rPr>
          <w:rFonts w:hint="eastAsia" w:ascii="楷体" w:hAnsi="楷体" w:eastAsia="楷体" w:cs="楷体"/>
          <w:b w:val="0"/>
          <w:bCs w:val="0"/>
          <w:color w:val="auto"/>
          <w:highlight w:val="none"/>
          <w:u w:val="none"/>
          <w:lang w:eastAsia="zh-CN"/>
        </w:rPr>
        <w:t>【11】</w:t>
      </w:r>
      <w:r>
        <w:rPr>
          <w:rFonts w:hint="eastAsia" w:ascii="楷体" w:hAnsi="楷体" w:eastAsia="楷体" w:cs="楷体"/>
          <w:b w:val="0"/>
          <w:bCs w:val="0"/>
          <w:color w:val="auto"/>
          <w:highlight w:val="none"/>
          <w:u w:val="none"/>
        </w:rPr>
        <w:t>日</w:t>
      </w:r>
      <w:r>
        <w:rPr>
          <w:rFonts w:hint="eastAsia" w:ascii="楷体" w:hAnsi="楷体" w:eastAsia="楷体" w:cs="楷体"/>
          <w:b w:val="0"/>
          <w:bCs w:val="0"/>
          <w:color w:val="auto"/>
          <w:highlight w:val="none"/>
          <w:u w:val="none"/>
          <w:lang w:eastAsia="zh-CN"/>
        </w:rPr>
        <w:t>【08:00】</w:t>
      </w:r>
      <w:r>
        <w:rPr>
          <w:rFonts w:hint="eastAsia" w:ascii="楷体" w:hAnsi="楷体" w:eastAsia="楷体" w:cs="楷体"/>
          <w:b w:val="0"/>
          <w:bCs w:val="0"/>
          <w:color w:val="auto"/>
          <w:highlight w:val="none"/>
          <w:u w:val="none"/>
        </w:rPr>
        <w:t>至</w:t>
      </w:r>
      <w:r>
        <w:rPr>
          <w:rFonts w:hint="eastAsia" w:ascii="楷体" w:hAnsi="楷体" w:eastAsia="楷体" w:cs="楷体"/>
          <w:b w:val="0"/>
          <w:bCs w:val="0"/>
          <w:color w:val="auto"/>
          <w:highlight w:val="none"/>
          <w:u w:val="none"/>
          <w:lang w:eastAsia="zh-CN"/>
        </w:rPr>
        <w:t>【2026】</w:t>
      </w:r>
      <w:r>
        <w:rPr>
          <w:rFonts w:hint="eastAsia" w:ascii="楷体" w:hAnsi="楷体" w:eastAsia="楷体" w:cs="楷体"/>
          <w:b w:val="0"/>
          <w:bCs w:val="0"/>
          <w:color w:val="auto"/>
          <w:highlight w:val="none"/>
          <w:u w:val="none"/>
        </w:rPr>
        <w:t>年</w:t>
      </w:r>
      <w:r>
        <w:rPr>
          <w:rFonts w:hint="eastAsia" w:ascii="楷体" w:hAnsi="楷体" w:eastAsia="楷体" w:cs="楷体"/>
          <w:b w:val="0"/>
          <w:bCs w:val="0"/>
          <w:color w:val="auto"/>
          <w:highlight w:val="none"/>
          <w:u w:val="none"/>
          <w:lang w:eastAsia="zh-CN"/>
        </w:rPr>
        <w:t>【08】</w:t>
      </w:r>
      <w:r>
        <w:rPr>
          <w:rFonts w:hint="eastAsia" w:ascii="楷体" w:hAnsi="楷体" w:eastAsia="楷体" w:cs="楷体"/>
          <w:b w:val="0"/>
          <w:bCs w:val="0"/>
          <w:color w:val="auto"/>
          <w:highlight w:val="none"/>
          <w:u w:val="none"/>
        </w:rPr>
        <w:t>月</w:t>
      </w:r>
      <w:r>
        <w:rPr>
          <w:rFonts w:hint="eastAsia" w:ascii="楷体" w:hAnsi="楷体" w:eastAsia="楷体" w:cs="楷体"/>
          <w:b w:val="0"/>
          <w:bCs w:val="0"/>
          <w:color w:val="auto"/>
          <w:highlight w:val="none"/>
          <w:u w:val="none"/>
          <w:lang w:eastAsia="zh-CN"/>
        </w:rPr>
        <w:t>【11】</w:t>
      </w:r>
      <w:r>
        <w:rPr>
          <w:rFonts w:hint="eastAsia" w:ascii="楷体" w:hAnsi="楷体" w:eastAsia="楷体" w:cs="楷体"/>
          <w:b w:val="0"/>
          <w:bCs w:val="0"/>
          <w:color w:val="auto"/>
          <w:highlight w:val="none"/>
          <w:u w:val="none"/>
        </w:rPr>
        <w:t>日</w:t>
      </w:r>
      <w:r>
        <w:rPr>
          <w:rFonts w:hint="eastAsia" w:ascii="楷体" w:hAnsi="楷体" w:eastAsia="楷体" w:cs="楷体"/>
          <w:b w:val="0"/>
          <w:bCs w:val="0"/>
          <w:color w:val="auto"/>
          <w:highlight w:val="none"/>
          <w:u w:val="none"/>
          <w:lang w:eastAsia="zh-CN"/>
        </w:rPr>
        <w:t>【16:00】。</w:t>
      </w:r>
      <w:r>
        <w:rPr>
          <w:rFonts w:hint="eastAsia" w:ascii="楷体" w:hAnsi="楷体" w:eastAsia="楷体" w:cs="楷体"/>
          <w:b/>
          <w:bCs/>
          <w:color w:val="auto"/>
          <w:highlight w:val="none"/>
          <w:u w:val="none"/>
        </w:rPr>
        <w:t>销售机构实际受理时间可能与</w:t>
      </w:r>
      <w:r>
        <w:rPr>
          <w:rFonts w:hint="eastAsia" w:ascii="楷体" w:hAnsi="楷体" w:eastAsia="楷体" w:cs="楷体"/>
          <w:b/>
          <w:bCs/>
          <w:color w:val="auto"/>
          <w:highlight w:val="none"/>
          <w:u w:val="none"/>
          <w:lang w:eastAsia="zh-CN"/>
        </w:rPr>
        <w:t>《</w:t>
      </w:r>
      <w:r>
        <w:rPr>
          <w:rFonts w:hint="eastAsia" w:ascii="楷体" w:hAnsi="楷体" w:eastAsia="楷体" w:cs="楷体"/>
          <w:b/>
          <w:bCs/>
          <w:color w:val="auto"/>
          <w:highlight w:val="none"/>
          <w:u w:val="none"/>
        </w:rPr>
        <w:t>产品说明书</w:t>
      </w:r>
      <w:r>
        <w:rPr>
          <w:rFonts w:hint="eastAsia" w:ascii="楷体" w:hAnsi="楷体" w:eastAsia="楷体" w:cs="楷体"/>
          <w:b/>
          <w:bCs/>
          <w:color w:val="auto"/>
          <w:highlight w:val="none"/>
          <w:u w:val="none"/>
          <w:lang w:eastAsia="zh-CN"/>
        </w:rPr>
        <w:t>》</w:t>
      </w:r>
      <w:r>
        <w:rPr>
          <w:rFonts w:hint="eastAsia" w:ascii="楷体" w:hAnsi="楷体" w:eastAsia="楷体" w:cs="楷体"/>
          <w:b/>
          <w:bCs/>
          <w:color w:val="auto"/>
          <w:highlight w:val="none"/>
          <w:u w:val="none"/>
        </w:rPr>
        <w:t>不一致，具体以销售机构</w:t>
      </w:r>
      <w:r>
        <w:rPr>
          <w:rFonts w:hint="eastAsia" w:ascii="楷体" w:hAnsi="楷体" w:eastAsia="楷体" w:cs="楷体"/>
          <w:b/>
          <w:bCs/>
          <w:color w:val="auto"/>
          <w:highlight w:val="none"/>
          <w:u w:val="none"/>
          <w:lang w:val="en-US" w:eastAsia="zh-CN"/>
        </w:rPr>
        <w:t>规则</w:t>
      </w:r>
      <w:r>
        <w:rPr>
          <w:rFonts w:hint="eastAsia" w:ascii="楷体" w:hAnsi="楷体" w:eastAsia="楷体" w:cs="楷体"/>
          <w:b/>
          <w:bCs/>
          <w:color w:val="auto"/>
          <w:highlight w:val="none"/>
          <w:u w:val="none"/>
        </w:rPr>
        <w:t>为准。管理人可在认购期内公告延长或提前终止产品认购期，实际认购</w:t>
      </w:r>
      <w:r>
        <w:rPr>
          <w:rFonts w:hint="eastAsia" w:ascii="楷体" w:hAnsi="楷体" w:eastAsia="楷体" w:cs="楷体"/>
          <w:b/>
          <w:bCs/>
          <w:color w:val="auto"/>
          <w:u w:val="none"/>
        </w:rPr>
        <w:t>期以管理人公告为准。</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2.认购价格</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rPr>
        <w:t>本产品初始</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净值为1元人民币/份。</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3.产品规模</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产品最低发行规模为</w:t>
      </w:r>
      <w:r>
        <w:rPr>
          <w:rFonts w:hint="eastAsia" w:ascii="楷体" w:hAnsi="楷体" w:eastAsia="楷体" w:cs="楷体"/>
          <w:b w:val="0"/>
          <w:bCs w:val="0"/>
          <w:i w:val="0"/>
          <w:iCs w:val="0"/>
          <w:color w:val="auto"/>
          <w:szCs w:val="21"/>
          <w:u w:val="none"/>
          <w:lang w:eastAsia="zh-CN"/>
        </w:rPr>
        <w:t>【100.00元】</w:t>
      </w:r>
      <w:r>
        <w:rPr>
          <w:rFonts w:hint="eastAsia" w:ascii="楷体" w:hAnsi="楷体" w:eastAsia="楷体" w:cs="楷体"/>
          <w:b w:val="0"/>
          <w:bCs w:val="0"/>
          <w:color w:val="auto"/>
          <w:szCs w:val="21"/>
          <w:u w:val="none"/>
        </w:rPr>
        <w:t>，如认购金额不足</w:t>
      </w:r>
      <w:r>
        <w:rPr>
          <w:rFonts w:hint="eastAsia" w:ascii="楷体" w:hAnsi="楷体" w:eastAsia="楷体" w:cs="楷体"/>
          <w:b w:val="0"/>
          <w:bCs w:val="0"/>
          <w:color w:val="auto"/>
          <w:szCs w:val="21"/>
          <w:u w:val="none"/>
          <w:lang w:eastAsia="zh-CN"/>
        </w:rPr>
        <w:t>【100.00元】</w:t>
      </w:r>
      <w:r>
        <w:rPr>
          <w:rFonts w:hint="eastAsia" w:ascii="楷体" w:hAnsi="楷体" w:eastAsia="楷体" w:cs="楷体"/>
          <w:b w:val="0"/>
          <w:bCs w:val="0"/>
          <w:color w:val="auto"/>
          <w:szCs w:val="21"/>
          <w:u w:val="none"/>
        </w:rPr>
        <w:t>，管理人有权宣布理财产品不成立。</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rPr>
        <w:t>产品发行规模上限为</w:t>
      </w:r>
      <w:r>
        <w:rPr>
          <w:rFonts w:hint="eastAsia" w:ascii="楷体" w:hAnsi="楷体" w:eastAsia="楷体" w:cs="楷体"/>
          <w:b w:val="0"/>
          <w:bCs w:val="0"/>
          <w:color w:val="auto"/>
          <w:szCs w:val="21"/>
          <w:u w:val="none"/>
          <w:lang w:eastAsia="zh-CN"/>
        </w:rPr>
        <w:t>【200.00亿元】</w:t>
      </w:r>
      <w:r>
        <w:rPr>
          <w:rFonts w:hint="eastAsia" w:ascii="楷体" w:hAnsi="楷体" w:eastAsia="楷体" w:cs="楷体"/>
          <w:b w:val="0"/>
          <w:bCs w:val="0"/>
          <w:color w:val="auto"/>
          <w:szCs w:val="21"/>
          <w:u w:val="none"/>
        </w:rPr>
        <w:t>，认购期届满前，如产品发行规模达到规模上限，</w:t>
      </w:r>
      <w:r>
        <w:rPr>
          <w:rFonts w:hint="eastAsia" w:ascii="楷体" w:hAnsi="楷体" w:eastAsia="楷体" w:cs="楷体"/>
          <w:b w:val="0"/>
          <w:bCs w:val="0"/>
          <w:color w:val="auto"/>
          <w:u w:val="none"/>
        </w:rPr>
        <w:t>管理人有权暂停</w:t>
      </w:r>
      <w:r>
        <w:rPr>
          <w:rFonts w:hint="eastAsia" w:ascii="楷体" w:hAnsi="楷体" w:eastAsia="楷体" w:cs="楷体"/>
          <w:b w:val="0"/>
          <w:bCs w:val="0"/>
          <w:color w:val="auto"/>
          <w:szCs w:val="21"/>
          <w:u w:val="none"/>
        </w:rPr>
        <w:t>受理该份额的认购申请。</w:t>
      </w:r>
      <w:r>
        <w:rPr>
          <w:rFonts w:hint="eastAsia" w:ascii="楷体" w:hAnsi="楷体" w:eastAsia="楷体" w:cs="楷体"/>
          <w:b/>
          <w:bCs/>
        </w:rPr>
        <w:t>销售机构实际</w:t>
      </w:r>
      <w:r>
        <w:rPr>
          <w:rFonts w:hint="eastAsia" w:ascii="楷体" w:hAnsi="楷体" w:eastAsia="楷体" w:cs="楷体"/>
          <w:b/>
          <w:bCs/>
          <w:lang w:val="en-US" w:eastAsia="zh-CN"/>
        </w:rPr>
        <w:t>销售规模限制</w:t>
      </w:r>
      <w:r>
        <w:rPr>
          <w:rFonts w:hint="eastAsia" w:ascii="楷体" w:hAnsi="楷体" w:eastAsia="楷体" w:cs="楷体"/>
          <w:b/>
          <w:bCs/>
        </w:rPr>
        <w:t>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4.认购金额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在理财产品认购期内，本理财产品客户首次认购的最低金额为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i w:val="0"/>
          <w:iCs w:val="0"/>
          <w:color w:val="auto"/>
          <w:szCs w:val="21"/>
          <w:u w:val="none"/>
        </w:rPr>
        <w:t>的整数倍</w:t>
      </w:r>
      <w:r>
        <w:rPr>
          <w:rFonts w:hint="eastAsia" w:ascii="楷体" w:hAnsi="楷体" w:eastAsia="楷体" w:cs="楷体"/>
          <w:b w:val="0"/>
          <w:bCs w:val="0"/>
          <w:color w:val="auto"/>
          <w:szCs w:val="21"/>
          <w:u w:val="none"/>
        </w:rPr>
        <w:t>。最低追加认购金额为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w:t>
      </w:r>
      <w:r>
        <w:rPr>
          <w:rFonts w:hint="eastAsia" w:ascii="楷体" w:hAnsi="楷体" w:eastAsia="楷体" w:cs="楷体"/>
          <w:b w:val="0"/>
          <w:bCs w:val="0"/>
          <w:color w:val="auto"/>
          <w:u w:val="none"/>
          <w:lang w:val="en-US" w:eastAsia="zh-CN"/>
        </w:rPr>
        <w:t>本理财产品在代理销售机构的实际销售起点金额，因代理销售机构的不同可能存在差异（可能高于销售文件约定的销售起点金额），应当以代理销售机构展示为准。代理销售机构的实际销售起点金额，不得低于销售文件约定的销售起点金额。</w:t>
      </w:r>
    </w:p>
    <w:p>
      <w:pPr>
        <w:spacing w:line="360" w:lineRule="auto"/>
        <w:ind w:firstLine="420" w:firstLineChars="200"/>
        <w:contextualSpacing/>
        <w:outlineLvl w:val="2"/>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5.认购费用</w:t>
      </w:r>
    </w:p>
    <w:p>
      <w:pPr>
        <w:spacing w:line="360" w:lineRule="auto"/>
        <w:ind w:firstLine="420" w:firstLineChars="200"/>
        <w:contextualSpacing/>
        <w:rPr>
          <w:rFonts w:hint="eastAsia" w:ascii="楷体" w:hAnsi="楷体" w:eastAsia="楷体" w:cs="楷体"/>
          <w:b w:val="0"/>
          <w:bCs w:val="0"/>
          <w:color w:val="auto"/>
          <w:szCs w:val="22"/>
          <w:u w:val="none"/>
          <w:lang w:val="en-US" w:eastAsia="zh-CN"/>
        </w:rPr>
      </w:pPr>
      <w:r>
        <w:rPr>
          <w:rFonts w:hint="eastAsia" w:ascii="楷体" w:hAnsi="楷体" w:eastAsia="楷体" w:cs="楷体"/>
          <w:b w:val="0"/>
          <w:bCs w:val="0"/>
          <w:color w:val="auto"/>
          <w:szCs w:val="22"/>
          <w:u w:val="none"/>
          <w:lang w:val="en-US" w:eastAsia="zh-CN"/>
        </w:rPr>
        <w:t>本理财产品认购费率：</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2"/>
          <w:u w:val="none"/>
          <w:lang w:val="en-US" w:eastAsia="zh-CN"/>
        </w:rPr>
        <w:t>。</w:t>
      </w:r>
    </w:p>
    <w:p>
      <w:pPr>
        <w:spacing w:line="360" w:lineRule="auto"/>
        <w:ind w:firstLine="420" w:firstLineChars="200"/>
        <w:contextualSpacing/>
        <w:rPr>
          <w:rFonts w:hint="eastAsia" w:ascii="楷体" w:hAnsi="楷体" w:eastAsia="楷体" w:cs="楷体"/>
          <w:b w:val="0"/>
          <w:bCs w:val="0"/>
          <w:color w:val="auto"/>
          <w:szCs w:val="22"/>
          <w:u w:val="none"/>
          <w:lang w:val="en-US" w:eastAsia="zh-CN"/>
        </w:rPr>
      </w:pPr>
      <w:r>
        <w:rPr>
          <w:rFonts w:hint="eastAsia" w:ascii="楷体" w:hAnsi="楷体" w:eastAsia="楷体" w:cs="楷体"/>
          <w:b w:val="0"/>
          <w:bCs w:val="0"/>
          <w:color w:val="auto"/>
          <w:szCs w:val="22"/>
          <w:u w:val="none"/>
          <w:lang w:val="en-US" w:eastAsia="zh-CN"/>
        </w:rPr>
        <w:t>该费用</w:t>
      </w:r>
      <w:r>
        <w:rPr>
          <w:rFonts w:hint="eastAsia" w:ascii="楷体" w:hAnsi="楷体" w:eastAsia="楷体" w:cs="楷体"/>
          <w:b w:val="0"/>
          <w:bCs w:val="0"/>
          <w:color w:val="auto"/>
          <w:szCs w:val="21"/>
          <w:u w:val="none"/>
          <w:lang w:val="en-US" w:eastAsia="zh-CN"/>
        </w:rPr>
        <w:t>由投资者承担并于认购份额时一次性支付。</w:t>
      </w:r>
    </w:p>
    <w:p>
      <w:pPr>
        <w:spacing w:line="360" w:lineRule="auto"/>
        <w:ind w:firstLine="420" w:firstLineChars="200"/>
        <w:contextualSpacing/>
        <w:outlineLvl w:val="2"/>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6</w:t>
      </w: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认购数量限制</w:t>
      </w:r>
    </w:p>
    <w:p>
      <w:pPr>
        <w:spacing w:line="360" w:lineRule="auto"/>
        <w:ind w:firstLine="420" w:firstLineChars="200"/>
        <w:contextualSpacing/>
        <w:rPr>
          <w:rFonts w:hint="eastAsia" w:ascii="楷体" w:hAnsi="楷体" w:eastAsia="楷体" w:cs="楷体"/>
          <w:b w:val="0"/>
          <w:bCs w:val="0"/>
          <w:color w:val="auto"/>
          <w:u w:val="none"/>
        </w:rPr>
      </w:pPr>
      <w:r>
        <w:rPr>
          <w:rFonts w:hint="eastAsia" w:ascii="楷体" w:hAnsi="楷体" w:eastAsia="楷体" w:cs="楷体"/>
          <w:b w:val="0"/>
          <w:bCs w:val="0"/>
          <w:color w:val="auto"/>
          <w:szCs w:val="21"/>
          <w:highlight w:val="none"/>
          <w:u w:val="none"/>
          <w:lang w:val="en-US" w:eastAsia="zh-CN"/>
        </w:rPr>
        <w:t>本理财产品</w:t>
      </w:r>
      <w:r>
        <w:rPr>
          <w:rFonts w:hint="eastAsia" w:ascii="楷体" w:hAnsi="楷体" w:eastAsia="楷体" w:cs="楷体"/>
          <w:b w:val="0"/>
          <w:bCs w:val="0"/>
          <w:color w:val="auto"/>
          <w:szCs w:val="21"/>
          <w:highlight w:val="none"/>
          <w:u w:val="none"/>
        </w:rPr>
        <w:t>单户累计最大购买金额为</w:t>
      </w:r>
      <w:r>
        <w:rPr>
          <w:rFonts w:hint="eastAsia" w:ascii="楷体" w:hAnsi="楷体" w:eastAsia="楷体" w:cs="楷体"/>
          <w:b w:val="0"/>
          <w:bCs w:val="0"/>
          <w:color w:val="auto"/>
          <w:szCs w:val="21"/>
          <w:highlight w:val="none"/>
          <w:u w:val="none"/>
          <w:lang w:eastAsia="zh-CN"/>
        </w:rPr>
        <w:t>【25.00万元】，</w:t>
      </w:r>
      <w:r>
        <w:rPr>
          <w:rFonts w:hint="eastAsia" w:ascii="楷体" w:hAnsi="楷体" w:eastAsia="楷体" w:cs="楷体"/>
          <w:b w:val="0"/>
          <w:bCs w:val="0"/>
          <w:color w:val="auto"/>
          <w:szCs w:val="21"/>
          <w:highlight w:val="none"/>
          <w:u w:val="none"/>
          <w:lang w:val="en-US" w:eastAsia="zh-CN"/>
        </w:rPr>
        <w:t>且单一投资者持有份额不得超过产品总份额50%。投资者认购或申购确认后可能导致其持有份额超过产品总份额50%的，管理人有权拒绝或暂停认购、申购。非因管理人主观因素导致突破该比例限制的，在单一投资者持有比例降至50%以下之前，管理人不再接受该投资者对本产品的认购、申购申请。</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7</w:t>
      </w:r>
      <w:r>
        <w:rPr>
          <w:rFonts w:hint="eastAsia" w:ascii="楷体" w:hAnsi="楷体" w:eastAsia="楷体" w:cs="楷体"/>
          <w:b w:val="0"/>
          <w:bCs w:val="0"/>
          <w:color w:val="auto"/>
          <w:szCs w:val="21"/>
          <w:u w:val="none"/>
        </w:rPr>
        <w:t>.认购方式及确认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（1）本理财产品采取金额认购的方式。</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销售机构受理认购申请并不表示对该申请成功的确认，而仅代表其收到了认购申请，申请是否有效应以管理人的确认为准。具体而言，投资者按规定提交认购申请、全额交付款项并经销售机构成功冻结或预扣的，认购申请成立；如管理人在认购</w:t>
      </w:r>
      <w:r>
        <w:rPr>
          <w:rFonts w:hint="eastAsia" w:ascii="楷体" w:hAnsi="楷体" w:eastAsia="楷体" w:cs="楷体"/>
          <w:b w:val="0"/>
          <w:bCs w:val="0"/>
          <w:color w:val="auto"/>
          <w:szCs w:val="21"/>
          <w:u w:val="none"/>
          <w:lang w:val="en-US" w:eastAsia="zh-CN"/>
        </w:rPr>
        <w:t>确认</w:t>
      </w:r>
      <w:r>
        <w:rPr>
          <w:rFonts w:hint="eastAsia" w:ascii="楷体" w:hAnsi="楷体" w:eastAsia="楷体" w:cs="楷体"/>
          <w:b w:val="0"/>
          <w:bCs w:val="0"/>
          <w:color w:val="auto"/>
          <w:szCs w:val="21"/>
          <w:u w:val="none"/>
        </w:rPr>
        <w:t>日根据投资者的认购申请为投资者成功登记认购份额，则视为投资者的认购申请生效，并以管理人的登记记录为准。投资者应在本理财产品成立后及时查询最终成交确认情况和认购的份额。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（3）认购撤单</w:t>
      </w:r>
    </w:p>
    <w:p>
      <w:pPr>
        <w:spacing w:line="360" w:lineRule="auto"/>
        <w:ind w:firstLine="420" w:firstLineChars="200"/>
        <w:contextualSpacing/>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sz w:val="21"/>
          <w:szCs w:val="21"/>
          <w:highlight w:val="none"/>
          <w:u w:val="none"/>
        </w:rPr>
        <w:t>投资者可通过销售机构和管理人认可的方式办理撤销本理财</w:t>
      </w:r>
      <w:r>
        <w:rPr>
          <w:rFonts w:hint="eastAsia" w:ascii="楷体" w:hAnsi="楷体" w:eastAsia="楷体" w:cs="楷体"/>
          <w:b w:val="0"/>
          <w:bCs w:val="0"/>
          <w:color w:val="auto"/>
          <w:sz w:val="21"/>
          <w:szCs w:val="21"/>
          <w:highlight w:val="none"/>
          <w:u w:val="none"/>
          <w:lang w:val="en-US" w:eastAsia="zh-CN"/>
        </w:rPr>
        <w:t>产品</w:t>
      </w:r>
      <w:r>
        <w:rPr>
          <w:rFonts w:hint="eastAsia" w:ascii="楷体" w:hAnsi="楷体" w:eastAsia="楷体" w:cs="楷体"/>
          <w:b w:val="0"/>
          <w:bCs w:val="0"/>
          <w:color w:val="auto"/>
          <w:sz w:val="21"/>
          <w:szCs w:val="21"/>
          <w:highlight w:val="none"/>
          <w:u w:val="none"/>
        </w:rPr>
        <w:t>份额，</w:t>
      </w:r>
      <w:r>
        <w:rPr>
          <w:rFonts w:hint="eastAsia" w:ascii="楷体" w:hAnsi="楷体" w:eastAsia="楷体" w:cs="楷体"/>
          <w:b w:val="0"/>
          <w:bCs w:val="0"/>
          <w:color w:val="auto"/>
          <w:szCs w:val="21"/>
          <w:highlight w:val="none"/>
          <w:u w:val="none"/>
        </w:rPr>
        <w:t>投资者在认购期内的撤单规则，以销售机构受理规则为准。</w:t>
      </w:r>
    </w:p>
    <w:p>
      <w:pPr>
        <w:spacing w:line="360" w:lineRule="auto"/>
        <w:ind w:firstLine="420" w:firstLineChars="200"/>
        <w:contextualSpacing/>
        <w:rPr>
          <w:rFonts w:hint="eastAsia" w:ascii="楷体" w:hAnsi="楷体" w:eastAsia="楷体" w:cs="楷体"/>
          <w:b/>
          <w:bCs/>
          <w:szCs w:val="21"/>
          <w:highlight w:val="none"/>
          <w:u w:val="none"/>
        </w:rPr>
      </w:pPr>
      <w:r>
        <w:rPr>
          <w:rFonts w:hint="eastAsia" w:ascii="楷体" w:hAnsi="楷体" w:eastAsia="楷体" w:cs="楷体"/>
          <w:b w:val="0"/>
          <w:bCs w:val="0"/>
          <w:szCs w:val="21"/>
          <w:highlight w:val="none"/>
          <w:u w:val="none"/>
        </w:rPr>
        <w:t>（4）投资者在募集期内认购本理财产品被受理后，销售机构有权冻结或预扣认购款项，</w:t>
      </w:r>
      <w:r>
        <w:rPr>
          <w:rFonts w:hint="eastAsia" w:ascii="楷体" w:hAnsi="楷体" w:eastAsia="楷体" w:cs="楷体"/>
          <w:b/>
          <w:bCs/>
          <w:szCs w:val="21"/>
          <w:highlight w:val="none"/>
          <w:u w:val="none"/>
        </w:rPr>
        <w:t>冻结或预扣期间管理人不向投资者计付利息，销售机构是否计付利息以销售机构计息规则为准</w:t>
      </w:r>
      <w:r>
        <w:rPr>
          <w:rFonts w:hint="eastAsia" w:ascii="楷体" w:hAnsi="楷体" w:eastAsia="楷体" w:cs="楷体"/>
          <w:b/>
          <w:bCs/>
          <w:szCs w:val="21"/>
          <w:highlight w:val="none"/>
          <w:u w:val="none"/>
          <w:lang w:eastAsia="zh-CN"/>
        </w:rPr>
        <w:t>，</w:t>
      </w:r>
      <w:r>
        <w:rPr>
          <w:rFonts w:hint="eastAsia" w:ascii="楷体" w:hAnsi="楷体" w:eastAsia="楷体" w:cs="楷体"/>
          <w:b/>
          <w:bCs/>
          <w:highlight w:val="none"/>
          <w:u w:val="none"/>
        </w:rPr>
        <w:t>利息部分不计入认购本金</w:t>
      </w:r>
      <w:r>
        <w:rPr>
          <w:rFonts w:hint="eastAsia" w:ascii="楷体" w:hAnsi="楷体" w:eastAsia="楷体" w:cs="楷体"/>
          <w:b/>
          <w:bCs/>
          <w:szCs w:val="21"/>
          <w:highlight w:val="none"/>
          <w:u w:val="none"/>
        </w:rPr>
        <w:t>。</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8</w:t>
      </w:r>
      <w:r>
        <w:rPr>
          <w:rFonts w:hint="eastAsia" w:ascii="楷体" w:hAnsi="楷体" w:eastAsia="楷体" w:cs="楷体"/>
          <w:b w:val="0"/>
          <w:bCs w:val="0"/>
          <w:szCs w:val="21"/>
          <w:u w:val="none"/>
        </w:rPr>
        <w:t>.认购份额的计算</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本理财产品认购份额的具体计算方法如下：</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认购份额＝认购金额÷（1+认购费率）÷产品初始</w:t>
      </w:r>
      <w:r>
        <w:rPr>
          <w:rFonts w:hint="eastAsia" w:ascii="楷体" w:hAnsi="楷体" w:eastAsia="楷体" w:cs="楷体"/>
          <w:b w:val="0"/>
          <w:bCs w:val="0"/>
          <w:szCs w:val="21"/>
          <w:u w:val="none"/>
          <w:lang w:val="en-US" w:eastAsia="zh-CN"/>
        </w:rPr>
        <w:t>份额</w:t>
      </w:r>
      <w:r>
        <w:rPr>
          <w:rFonts w:hint="eastAsia" w:ascii="楷体" w:hAnsi="楷体" w:eastAsia="楷体" w:cs="楷体"/>
          <w:b w:val="0"/>
          <w:bCs w:val="0"/>
          <w:szCs w:val="21"/>
          <w:u w:val="none"/>
        </w:rPr>
        <w:t>净值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认购份额采用四舍五入法保留至小数点后2位。</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示例：</w:t>
      </w:r>
      <w:r>
        <w:rPr>
          <w:rFonts w:hint="eastAsia" w:ascii="楷体" w:hAnsi="楷体" w:eastAsia="楷体" w:cs="楷体"/>
          <w:b w:val="0"/>
          <w:bCs w:val="0"/>
          <w:color w:val="auto"/>
          <w:szCs w:val="22"/>
          <w:u w:val="none"/>
          <w:lang w:val="en-US" w:eastAsia="zh-CN"/>
        </w:rPr>
        <w:t>【假定某投资者投资100元人民币认购本理财产品，认购费率为0.00%，则其可得到的认购份额计算如下：</w:t>
      </w:r>
      <w:r>
        <w:rPr>
          <w:rFonts w:hint="eastAsia" w:ascii="楷体" w:hAnsi="楷体" w:eastAsia="楷体" w:cs="楷体"/>
          <w:b w:val="0"/>
          <w:bCs w:val="0"/>
          <w:color w:val="auto"/>
          <w:szCs w:val="22"/>
          <w:u w:val="none"/>
          <w:lang w:val="en-US" w:eastAsia="zh-CN"/>
        </w:rPr>
        <w:br w:type="textWrapping"/>
      </w:r>
      <w:r>
        <w:rPr>
          <w:rFonts w:hint="eastAsia" w:ascii="楷体" w:hAnsi="楷体" w:eastAsia="楷体" w:cs="楷体"/>
          <w:b w:val="0"/>
          <w:bCs w:val="0"/>
          <w:color w:val="auto"/>
          <w:szCs w:val="22"/>
          <w:u w:val="none"/>
          <w:lang w:val="en-US" w:eastAsia="zh-CN"/>
        </w:rPr>
        <w:t xml:space="preserve">    认购份额＝100÷（1+0.00%）÷1.00元/份＝100.00份】</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（二）理财产品申购、赎回</w:t>
      </w:r>
    </w:p>
    <w:p>
      <w:pPr>
        <w:spacing w:line="360" w:lineRule="auto"/>
        <w:ind w:firstLine="420" w:firstLineChars="200"/>
        <w:contextualSpacing/>
        <w:outlineLvl w:val="2"/>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1.产品开放日</w:t>
      </w:r>
    </w:p>
    <w:p>
      <w:pPr>
        <w:numPr>
          <w:ilvl w:val="12"/>
          <w:numId w:val="0"/>
        </w:num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eastAsia="zh-CN"/>
        </w:rPr>
        <w:t>【在理财产品存续期内，除投资封闭期外每一自然日为产品开放日】</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rPr>
        <w:t>管理人将在产品开放日受理本理财产品的申购申请</w:t>
      </w:r>
      <w:r>
        <w:rPr>
          <w:rFonts w:hint="eastAsia" w:ascii="楷体" w:hAnsi="楷体" w:eastAsia="楷体" w:cs="楷体"/>
          <w:b w:val="0"/>
          <w:bCs w:val="0"/>
          <w:color w:val="auto"/>
          <w:u w:val="none"/>
          <w:lang w:eastAsia="zh-CN"/>
        </w:rPr>
        <w:t>。</w:t>
      </w:r>
      <w:r>
        <w:rPr>
          <w:rFonts w:hint="eastAsia" w:ascii="楷体" w:hAnsi="楷体" w:eastAsia="楷体" w:cs="楷体"/>
          <w:b w:val="0"/>
          <w:bCs w:val="0"/>
          <w:color w:val="auto"/>
          <w:szCs w:val="21"/>
          <w:u w:val="none"/>
          <w:lang w:val="en-US" w:eastAsia="zh-CN"/>
        </w:rPr>
        <w:t>在理财产品存续期内，管理人有权根据市场情况变化暂停本理财产品的申购，暂停公告通过《产品说明书》“信息披露”约定的方式向投资者披露。</w:t>
      </w:r>
    </w:p>
    <w:p>
      <w:pPr>
        <w:spacing w:line="360" w:lineRule="auto"/>
        <w:ind w:firstLine="420" w:firstLineChars="200"/>
        <w:contextualSpacing/>
        <w:outlineLvl w:val="2"/>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2.最短持有期</w:t>
      </w:r>
    </w:p>
    <w:p>
      <w:pPr>
        <w:numPr>
          <w:ilvl w:val="12"/>
          <w:numId w:val="0"/>
        </w:numPr>
        <w:spacing w:line="360" w:lineRule="auto"/>
        <w:ind w:firstLine="420" w:firstLineChars="200"/>
        <w:contextualSpacing/>
        <w:rPr>
          <w:rFonts w:hint="eastAsia" w:ascii="楷体" w:hAnsi="楷体" w:eastAsia="楷体" w:cs="楷体"/>
          <w:szCs w:val="21"/>
          <w:u w:val="none"/>
        </w:rPr>
      </w:pPr>
      <w:r>
        <w:rPr>
          <w:rFonts w:hint="eastAsia" w:ascii="楷体" w:hAnsi="楷体" w:eastAsia="楷体" w:cs="楷体"/>
          <w:szCs w:val="21"/>
          <w:u w:val="none"/>
        </w:rPr>
        <w:t>本理财产品对投资者的每笔有效认/申购设置</w:t>
      </w:r>
      <w:r>
        <w:rPr>
          <w:rFonts w:hint="eastAsia" w:ascii="楷体" w:hAnsi="楷体" w:eastAsia="楷体" w:cs="楷体"/>
          <w:b w:val="0"/>
          <w:bCs w:val="0"/>
          <w:color w:val="auto"/>
          <w:u w:val="none"/>
          <w:lang w:eastAsia="zh-CN"/>
        </w:rPr>
        <w:t>【90】</w:t>
      </w:r>
      <w:r>
        <w:rPr>
          <w:rFonts w:hint="eastAsia" w:ascii="楷体" w:hAnsi="楷体" w:eastAsia="楷体" w:cs="楷体"/>
          <w:szCs w:val="21"/>
          <w:u w:val="none"/>
        </w:rPr>
        <w:t>个自然日的最短持有期限。</w:t>
      </w:r>
    </w:p>
    <w:p>
      <w:pPr>
        <w:numPr>
          <w:ilvl w:val="12"/>
          <w:numId w:val="0"/>
        </w:numPr>
        <w:spacing w:line="360" w:lineRule="auto"/>
        <w:ind w:firstLine="420" w:firstLineChars="200"/>
        <w:contextualSpacing/>
        <w:rPr>
          <w:rFonts w:hint="eastAsia" w:ascii="楷体" w:hAnsi="楷体" w:eastAsia="楷体" w:cs="楷体"/>
          <w:szCs w:val="21"/>
          <w:u w:val="none"/>
        </w:rPr>
      </w:pPr>
      <w:r>
        <w:rPr>
          <w:rFonts w:hint="eastAsia" w:ascii="楷体" w:hAnsi="楷体" w:eastAsia="楷体" w:cs="楷体"/>
          <w:szCs w:val="21"/>
          <w:u w:val="none"/>
        </w:rPr>
        <w:t>最短持有期起始日即认/申购对应的成立日/确认日，每笔理财产品份额从最短持有期起始日起，至其后第</w:t>
      </w:r>
      <w:r>
        <w:rPr>
          <w:rFonts w:hint="eastAsia" w:ascii="楷体" w:hAnsi="楷体" w:eastAsia="楷体" w:cs="楷体"/>
          <w:b w:val="0"/>
          <w:bCs w:val="0"/>
          <w:color w:val="auto"/>
          <w:u w:val="none"/>
          <w:lang w:eastAsia="zh-CN"/>
        </w:rPr>
        <w:t>【90】</w:t>
      </w:r>
      <w:r>
        <w:rPr>
          <w:rFonts w:hint="eastAsia" w:ascii="楷体" w:hAnsi="楷体" w:eastAsia="楷体" w:cs="楷体"/>
          <w:szCs w:val="21"/>
          <w:u w:val="none"/>
        </w:rPr>
        <w:t>个自然日（不含）内，投资者不能提出赎回申请。</w:t>
      </w:r>
    </w:p>
    <w:p>
      <w:pPr>
        <w:numPr>
          <w:ilvl w:val="12"/>
          <w:numId w:val="0"/>
        </w:numPr>
        <w:spacing w:line="360" w:lineRule="auto"/>
        <w:ind w:firstLine="420" w:firstLineChars="200"/>
        <w:contextualSpacing/>
        <w:rPr>
          <w:rFonts w:hint="eastAsia" w:ascii="楷体" w:hAnsi="楷体" w:eastAsia="楷体" w:cs="楷体"/>
          <w:szCs w:val="21"/>
          <w:u w:val="none"/>
        </w:rPr>
      </w:pPr>
      <w:r>
        <w:rPr>
          <w:rFonts w:hint="eastAsia" w:ascii="楷体" w:hAnsi="楷体" w:eastAsia="楷体" w:cs="楷体"/>
          <w:szCs w:val="21"/>
          <w:u w:val="none"/>
        </w:rPr>
        <w:t>最短持有期结束日为最短持有期起始日后的第</w:t>
      </w:r>
      <w:r>
        <w:rPr>
          <w:rFonts w:hint="eastAsia" w:ascii="楷体" w:hAnsi="楷体" w:eastAsia="楷体" w:cs="楷体"/>
          <w:b w:val="0"/>
          <w:bCs w:val="0"/>
          <w:color w:val="auto"/>
          <w:u w:val="none"/>
          <w:lang w:eastAsia="zh-CN"/>
        </w:rPr>
        <w:t>【90】</w:t>
      </w:r>
      <w:r>
        <w:rPr>
          <w:rFonts w:hint="eastAsia" w:ascii="楷体" w:hAnsi="楷体" w:eastAsia="楷体" w:cs="楷体"/>
          <w:szCs w:val="21"/>
          <w:u w:val="none"/>
        </w:rPr>
        <w:t>个自然日（如遇非</w:t>
      </w:r>
      <w:r>
        <w:rPr>
          <w:rFonts w:hint="eastAsia" w:ascii="楷体" w:hAnsi="楷体" w:eastAsia="楷体" w:cs="楷体"/>
          <w:b w:val="0"/>
          <w:bCs w:val="0"/>
          <w:color w:val="auto"/>
          <w:u w:val="none"/>
          <w:lang w:eastAsia="zh-CN"/>
        </w:rPr>
        <w:t>【交易日】</w:t>
      </w:r>
      <w:r>
        <w:rPr>
          <w:rFonts w:hint="eastAsia" w:ascii="楷体" w:hAnsi="楷体" w:eastAsia="楷体" w:cs="楷体"/>
          <w:szCs w:val="21"/>
          <w:u w:val="none"/>
        </w:rPr>
        <w:t>则顺延至下一个</w:t>
      </w:r>
      <w:r>
        <w:rPr>
          <w:rFonts w:hint="eastAsia" w:ascii="楷体" w:hAnsi="楷体" w:eastAsia="楷体" w:cs="楷体"/>
          <w:b w:val="0"/>
          <w:bCs w:val="0"/>
          <w:color w:val="auto"/>
          <w:u w:val="none"/>
          <w:lang w:eastAsia="zh-CN"/>
        </w:rPr>
        <w:t>【交易日】</w:t>
      </w:r>
      <w:r>
        <w:rPr>
          <w:rFonts w:hint="eastAsia" w:ascii="楷体" w:hAnsi="楷体" w:eastAsia="楷体" w:cs="楷体"/>
          <w:szCs w:val="21"/>
          <w:u w:val="none"/>
        </w:rPr>
        <w:t>），从最短持有期结束日当日（含）起，投资者可以提出赎回申请。</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3.</w:t>
      </w:r>
      <w:r>
        <w:rPr>
          <w:rFonts w:hint="eastAsia" w:ascii="楷体" w:hAnsi="楷体" w:eastAsia="楷体" w:cs="楷体"/>
          <w:b w:val="0"/>
          <w:bCs w:val="0"/>
          <w:color w:val="auto"/>
          <w:szCs w:val="21"/>
          <w:u w:val="none"/>
        </w:rPr>
        <w:t>产品规模</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产品发行规模上限为</w:t>
      </w:r>
      <w:r>
        <w:rPr>
          <w:rFonts w:hint="eastAsia" w:ascii="楷体" w:hAnsi="楷体" w:eastAsia="楷体" w:cs="楷体"/>
          <w:b w:val="0"/>
          <w:bCs w:val="0"/>
          <w:color w:val="auto"/>
          <w:szCs w:val="21"/>
          <w:u w:val="none"/>
          <w:lang w:eastAsia="zh-CN"/>
        </w:rPr>
        <w:t>【200.00亿元】</w:t>
      </w:r>
      <w:r>
        <w:rPr>
          <w:rFonts w:hint="eastAsia" w:ascii="楷体" w:hAnsi="楷体" w:eastAsia="楷体" w:cs="楷体"/>
          <w:b w:val="0"/>
          <w:bCs w:val="0"/>
          <w:color w:val="auto"/>
          <w:szCs w:val="21"/>
          <w:u w:val="none"/>
        </w:rPr>
        <w:t>，如产品发行规模达到规模上限，</w:t>
      </w:r>
      <w:r>
        <w:rPr>
          <w:rFonts w:hint="eastAsia" w:ascii="楷体" w:hAnsi="楷体" w:eastAsia="楷体" w:cs="楷体"/>
          <w:b w:val="0"/>
          <w:bCs w:val="0"/>
          <w:color w:val="auto"/>
          <w:u w:val="none"/>
        </w:rPr>
        <w:t>管理人有权暂停</w:t>
      </w:r>
      <w:r>
        <w:rPr>
          <w:rFonts w:hint="eastAsia" w:ascii="楷体" w:hAnsi="楷体" w:eastAsia="楷体" w:cs="楷体"/>
          <w:b w:val="0"/>
          <w:bCs w:val="0"/>
          <w:color w:val="auto"/>
          <w:szCs w:val="21"/>
          <w:u w:val="none"/>
        </w:rPr>
        <w:t>受理该产品的申购申请。</w:t>
      </w:r>
      <w:r>
        <w:rPr>
          <w:rFonts w:hint="eastAsia" w:ascii="楷体" w:hAnsi="楷体" w:eastAsia="楷体" w:cs="楷体"/>
          <w:b w:val="0"/>
          <w:bCs w:val="0"/>
          <w:color w:val="auto"/>
          <w:u w:val="none"/>
        </w:rPr>
        <w:t>管理人有权对本理财产品规模上限进行调整。</w:t>
      </w:r>
      <w:r>
        <w:rPr>
          <w:rFonts w:hint="eastAsia" w:ascii="楷体" w:hAnsi="楷体" w:eastAsia="楷体" w:cs="楷体"/>
          <w:b/>
          <w:bCs/>
        </w:rPr>
        <w:t>销售机构实际</w:t>
      </w:r>
      <w:r>
        <w:rPr>
          <w:rFonts w:hint="eastAsia" w:ascii="楷体" w:hAnsi="楷体" w:eastAsia="楷体" w:cs="楷体"/>
          <w:b/>
          <w:bCs/>
          <w:lang w:val="en-US" w:eastAsia="zh-CN"/>
        </w:rPr>
        <w:t>销售规模限制</w:t>
      </w:r>
      <w:r>
        <w:rPr>
          <w:rFonts w:hint="eastAsia" w:ascii="楷体" w:hAnsi="楷体" w:eastAsia="楷体" w:cs="楷体"/>
          <w:b/>
          <w:bCs/>
        </w:rPr>
        <w:t>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4</w:t>
      </w:r>
      <w:r>
        <w:rPr>
          <w:rFonts w:hint="eastAsia" w:ascii="楷体" w:hAnsi="楷体" w:eastAsia="楷体" w:cs="楷体"/>
          <w:b w:val="0"/>
          <w:bCs w:val="0"/>
          <w:color w:val="auto"/>
          <w:szCs w:val="21"/>
          <w:u w:val="none"/>
        </w:rPr>
        <w:t>.申购/赎回规则</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（1）投资者赎回本理财</w:t>
      </w:r>
      <w:r>
        <w:rPr>
          <w:rFonts w:hint="eastAsia" w:ascii="楷体" w:hAnsi="楷体" w:eastAsia="楷体" w:cs="楷体"/>
          <w:b w:val="0"/>
          <w:bCs w:val="0"/>
          <w:color w:val="auto"/>
          <w:szCs w:val="21"/>
          <w:u w:val="none"/>
          <w:lang w:val="en-US" w:eastAsia="zh-CN"/>
        </w:rPr>
        <w:t>产品</w:t>
      </w:r>
      <w:r>
        <w:rPr>
          <w:rFonts w:hint="eastAsia" w:ascii="楷体" w:hAnsi="楷体" w:eastAsia="楷体" w:cs="楷体"/>
          <w:b w:val="0"/>
          <w:bCs w:val="0"/>
          <w:color w:val="auto"/>
          <w:szCs w:val="21"/>
          <w:u w:val="none"/>
        </w:rPr>
        <w:t>时，管理人不承诺保证本金，也不承诺任何收益</w:t>
      </w:r>
      <w:r>
        <w:rPr>
          <w:rFonts w:hint="eastAsia" w:ascii="楷体" w:hAnsi="楷体" w:eastAsia="楷体" w:cs="楷体"/>
          <w:b w:val="0"/>
          <w:bCs w:val="0"/>
          <w:color w:val="auto"/>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2</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投资者申购、赎回本理财产品时，采用“未知价”原则，即本理财产品申购和赎回价格为对应确认日</w:t>
      </w:r>
      <w:r>
        <w:rPr>
          <w:rFonts w:hint="eastAsia" w:ascii="楷体" w:hAnsi="楷体" w:eastAsia="楷体" w:cs="楷体"/>
          <w:b w:val="0"/>
          <w:bCs w:val="0"/>
          <w:color w:val="auto"/>
          <w:szCs w:val="21"/>
          <w:u w:val="none"/>
          <w:lang w:val="en-US" w:eastAsia="zh-CN"/>
        </w:rPr>
        <w:t>前【1】个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w:t>
      </w:r>
      <w:r>
        <w:rPr>
          <w:rFonts w:hint="eastAsia" w:ascii="楷体" w:hAnsi="楷体" w:eastAsia="楷体" w:cs="楷体"/>
          <w:b w:val="0"/>
          <w:bCs w:val="0"/>
          <w:color w:val="auto"/>
          <w:szCs w:val="21"/>
          <w:u w:val="none"/>
          <w:lang w:val="en-US" w:eastAsia="zh-CN"/>
        </w:rPr>
        <w:t>理财</w:t>
      </w:r>
      <w:r>
        <w:rPr>
          <w:rFonts w:hint="eastAsia" w:ascii="楷体" w:hAnsi="楷体" w:eastAsia="楷体" w:cs="楷体"/>
          <w:b w:val="0"/>
          <w:bCs w:val="0"/>
          <w:color w:val="auto"/>
          <w:szCs w:val="21"/>
          <w:u w:val="none"/>
        </w:rPr>
        <w:t>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净值的公布详见</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产品说明书</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“理财产品估值”。</w:t>
      </w:r>
    </w:p>
    <w:p>
      <w:p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3</w:t>
      </w:r>
      <w:r>
        <w:rPr>
          <w:rFonts w:hint="eastAsia" w:ascii="楷体" w:hAnsi="楷体" w:eastAsia="楷体" w:cs="楷体"/>
          <w:b w:val="0"/>
          <w:bCs w:val="0"/>
          <w:color w:val="auto"/>
          <w:szCs w:val="21"/>
          <w:u w:val="none"/>
        </w:rPr>
        <w:t>）本理财</w:t>
      </w:r>
      <w:r>
        <w:rPr>
          <w:rFonts w:hint="eastAsia" w:ascii="楷体" w:hAnsi="楷体" w:eastAsia="楷体" w:cs="楷体"/>
          <w:b w:val="0"/>
          <w:bCs w:val="0"/>
          <w:color w:val="auto"/>
          <w:szCs w:val="21"/>
          <w:u w:val="none"/>
          <w:lang w:val="en-US" w:eastAsia="zh-CN"/>
        </w:rPr>
        <w:t>产品</w:t>
      </w:r>
      <w:r>
        <w:rPr>
          <w:rFonts w:hint="eastAsia" w:ascii="楷体" w:hAnsi="楷体" w:eastAsia="楷体" w:cs="楷体"/>
          <w:b w:val="0"/>
          <w:bCs w:val="0"/>
          <w:color w:val="auto"/>
          <w:szCs w:val="21"/>
          <w:u w:val="none"/>
        </w:rPr>
        <w:t>采用金额申购、份额赎回的原则，即申购以金额申请，赎回以</w:t>
      </w:r>
      <w:r>
        <w:rPr>
          <w:rFonts w:hint="eastAsia" w:ascii="楷体" w:hAnsi="楷体" w:eastAsia="楷体" w:cs="楷体"/>
          <w:b w:val="0"/>
          <w:bCs w:val="0"/>
          <w:szCs w:val="21"/>
          <w:u w:val="none"/>
        </w:rPr>
        <w:t>份额赎回</w:t>
      </w:r>
      <w:r>
        <w:rPr>
          <w:rFonts w:hint="eastAsia" w:ascii="楷体" w:hAnsi="楷体" w:eastAsia="楷体" w:cs="楷体"/>
          <w:b w:val="0"/>
          <w:bCs w:val="0"/>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4</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投资者可于</w:t>
      </w:r>
      <w:r>
        <w:rPr>
          <w:rFonts w:hint="eastAsia" w:ascii="楷体" w:hAnsi="楷体" w:eastAsia="楷体" w:cs="楷体"/>
          <w:b w:val="0"/>
          <w:bCs w:val="0"/>
          <w:color w:val="auto"/>
          <w:szCs w:val="21"/>
          <w:u w:val="none"/>
        </w:rPr>
        <w:t>申购开放日向销售机构提出申购申请</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highlight w:val="none"/>
          <w:u w:val="none"/>
          <w:lang w:eastAsia="zh-CN"/>
        </w:rPr>
        <w:t>管理人按照先申请、先申购原则确认申购申请，如累计申购份额已达到产品规模上限，</w:t>
      </w:r>
      <w:r>
        <w:rPr>
          <w:rFonts w:hint="eastAsia" w:ascii="楷体" w:hAnsi="楷体" w:eastAsia="楷体" w:cs="楷体"/>
          <w:b w:val="0"/>
          <w:bCs w:val="0"/>
          <w:color w:val="auto"/>
          <w:szCs w:val="21"/>
          <w:u w:val="none"/>
        </w:rPr>
        <w:t>管理人</w:t>
      </w:r>
      <w:r>
        <w:rPr>
          <w:rFonts w:hint="eastAsia" w:ascii="楷体" w:hAnsi="楷体" w:eastAsia="楷体" w:cs="楷体"/>
          <w:b w:val="0"/>
          <w:bCs w:val="0"/>
          <w:color w:val="auto"/>
          <w:szCs w:val="21"/>
          <w:highlight w:val="none"/>
          <w:u w:val="none"/>
          <w:lang w:eastAsia="zh-CN"/>
        </w:rPr>
        <w:t>有权</w:t>
      </w:r>
      <w:r>
        <w:rPr>
          <w:rFonts w:hint="eastAsia" w:ascii="楷体" w:hAnsi="楷体" w:eastAsia="楷体" w:cs="楷体"/>
          <w:b w:val="0"/>
          <w:bCs w:val="0"/>
          <w:color w:val="auto"/>
          <w:szCs w:val="21"/>
          <w:highlight w:val="none"/>
          <w:u w:val="none"/>
          <w:lang w:val="en-US" w:eastAsia="zh-CN"/>
        </w:rPr>
        <w:t>暂停接受</w:t>
      </w:r>
      <w:r>
        <w:rPr>
          <w:rFonts w:hint="eastAsia" w:ascii="楷体" w:hAnsi="楷体" w:eastAsia="楷体" w:cs="楷体"/>
          <w:b w:val="0"/>
          <w:bCs w:val="0"/>
          <w:color w:val="auto"/>
          <w:szCs w:val="21"/>
          <w:highlight w:val="none"/>
          <w:u w:val="none"/>
          <w:lang w:eastAsia="zh-CN"/>
        </w:rPr>
        <w:t>超出产品规模上限部分的申购申请。</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5</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本理财产品客户首次申购的最低金额为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的整数倍。最低追加申购金额为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w:t>
      </w:r>
      <w:r>
        <w:rPr>
          <w:rFonts w:hint="eastAsia" w:ascii="楷体" w:hAnsi="楷体" w:eastAsia="楷体" w:cs="楷体"/>
          <w:color w:val="auto"/>
          <w:szCs w:val="21"/>
          <w:u w:val="none"/>
          <w:lang w:val="en-US" w:eastAsia="zh-CN"/>
        </w:rPr>
        <w:t>本理财产品在代理销售机构的实际销售起点金额，因代理销售机构的不同可能存在差异（可能高于销售文件约定的销售起点金额），应当以代理销售机构展示为准。代理销售机构的实际销售起点金额，不得低于销售文件约定的销售起点金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（6）</w:t>
      </w:r>
      <w:r>
        <w:rPr>
          <w:rFonts w:hint="eastAsia" w:ascii="楷体" w:hAnsi="楷体" w:eastAsia="楷体" w:cs="楷体"/>
          <w:b w:val="0"/>
          <w:bCs w:val="0"/>
          <w:color w:val="auto"/>
          <w:szCs w:val="21"/>
          <w:highlight w:val="none"/>
          <w:u w:val="none"/>
          <w:lang w:val="en-US" w:eastAsia="zh-CN"/>
        </w:rPr>
        <w:t>本理财产品</w:t>
      </w:r>
      <w:r>
        <w:rPr>
          <w:rFonts w:hint="eastAsia" w:ascii="楷体" w:hAnsi="楷体" w:eastAsia="楷体" w:cs="楷体"/>
          <w:b w:val="0"/>
          <w:bCs w:val="0"/>
          <w:color w:val="auto"/>
          <w:szCs w:val="21"/>
          <w:highlight w:val="none"/>
          <w:u w:val="none"/>
        </w:rPr>
        <w:t>单户累计最大购买金额为</w:t>
      </w:r>
      <w:r>
        <w:rPr>
          <w:rFonts w:hint="eastAsia" w:ascii="楷体" w:hAnsi="楷体" w:eastAsia="楷体" w:cs="楷体"/>
          <w:b w:val="0"/>
          <w:bCs w:val="0"/>
          <w:color w:val="auto"/>
          <w:szCs w:val="21"/>
          <w:highlight w:val="none"/>
          <w:u w:val="none"/>
          <w:lang w:eastAsia="zh-CN"/>
        </w:rPr>
        <w:t>【25.00万元】，</w:t>
      </w:r>
      <w:r>
        <w:rPr>
          <w:rFonts w:hint="eastAsia" w:ascii="楷体" w:hAnsi="楷体" w:eastAsia="楷体" w:cs="楷体"/>
          <w:b w:val="0"/>
          <w:bCs w:val="0"/>
          <w:color w:val="auto"/>
          <w:szCs w:val="21"/>
          <w:highlight w:val="none"/>
          <w:u w:val="none"/>
          <w:lang w:val="en-US" w:eastAsia="zh-CN"/>
        </w:rPr>
        <w:t>且单一投资者持有份额不得超过产品总份额50%。投资者认购或申购确认后可能导致其持有份额超过产品总份额50%的，管理人有权拒绝或暂停认购、申购。非因管理人主观因素导致突破该比例限制的，在单一投资者持有比例降至50%以下之前，管理人不再接受该投资者对本产品的认购、申购申请。</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highlight w:val="none"/>
          <w:u w:val="none"/>
          <w:lang w:eastAsia="zh-CN"/>
        </w:rPr>
        <w:t>（</w:t>
      </w:r>
      <w:r>
        <w:rPr>
          <w:rFonts w:hint="eastAsia" w:ascii="楷体" w:hAnsi="楷体" w:eastAsia="楷体" w:cs="楷体"/>
          <w:b w:val="0"/>
          <w:bCs w:val="0"/>
          <w:color w:val="auto"/>
          <w:szCs w:val="21"/>
          <w:highlight w:val="none"/>
          <w:u w:val="none"/>
          <w:lang w:val="en-US" w:eastAsia="zh-CN"/>
        </w:rPr>
        <w:t>7</w:t>
      </w:r>
      <w:r>
        <w:rPr>
          <w:rFonts w:hint="eastAsia" w:ascii="楷体" w:hAnsi="楷体" w:eastAsia="楷体" w:cs="楷体"/>
          <w:b w:val="0"/>
          <w:bCs w:val="0"/>
          <w:color w:val="auto"/>
          <w:szCs w:val="21"/>
          <w:highlight w:val="none"/>
          <w:u w:val="none"/>
          <w:lang w:eastAsia="zh-CN"/>
        </w:rPr>
        <w:t>）</w:t>
      </w:r>
      <w:r>
        <w:rPr>
          <w:rFonts w:hint="eastAsia" w:ascii="楷体" w:hAnsi="楷体" w:eastAsia="楷体" w:cs="楷体"/>
          <w:b w:val="0"/>
          <w:bCs w:val="0"/>
          <w:color w:val="auto"/>
          <w:szCs w:val="21"/>
          <w:u w:val="none"/>
        </w:rPr>
        <w:t>最短持有期之后，投资者有权部分或全部赎回理财产品份额。赎回原则遵循“先进先出”原则</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如投资者赎回申请为部分赎回的，则优先赎回最早认/申购的产品份额。产品赎回顺序按时间优先原则进行确认。</w:t>
      </w:r>
    </w:p>
    <w:p>
      <w:pPr>
        <w:spacing w:line="360" w:lineRule="auto"/>
        <w:ind w:firstLine="420" w:firstLineChars="200"/>
        <w:contextualSpacing/>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8</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本理财产品客户赎回最低份额为</w:t>
      </w:r>
      <w:r>
        <w:rPr>
          <w:rFonts w:hint="eastAsia" w:ascii="楷体" w:hAnsi="楷体" w:eastAsia="楷体" w:cs="楷体"/>
          <w:b w:val="0"/>
          <w:bCs w:val="0"/>
          <w:color w:val="auto"/>
          <w:szCs w:val="21"/>
          <w:u w:val="none"/>
          <w:lang w:eastAsia="zh-CN"/>
        </w:rPr>
        <w:t>【0.01份】</w:t>
      </w:r>
      <w:r>
        <w:rPr>
          <w:rFonts w:hint="eastAsia" w:ascii="楷体" w:hAnsi="楷体" w:eastAsia="楷体" w:cs="楷体"/>
          <w:b w:val="0"/>
          <w:bCs w:val="0"/>
          <w:color w:val="auto"/>
          <w:szCs w:val="21"/>
          <w:u w:val="none"/>
        </w:rPr>
        <w:t>，超出部分应为</w:t>
      </w:r>
      <w:r>
        <w:rPr>
          <w:rFonts w:hint="eastAsia" w:ascii="楷体" w:hAnsi="楷体" w:eastAsia="楷体" w:cs="楷体"/>
          <w:b w:val="0"/>
          <w:bCs w:val="0"/>
          <w:color w:val="auto"/>
          <w:szCs w:val="21"/>
          <w:u w:val="none"/>
          <w:lang w:eastAsia="zh-CN"/>
        </w:rPr>
        <w:t>【0.01份】</w:t>
      </w:r>
      <w:r>
        <w:rPr>
          <w:rFonts w:hint="eastAsia" w:ascii="楷体" w:hAnsi="楷体" w:eastAsia="楷体" w:cs="楷体"/>
          <w:b w:val="0"/>
          <w:bCs w:val="0"/>
          <w:color w:val="auto"/>
          <w:szCs w:val="21"/>
          <w:u w:val="none"/>
        </w:rPr>
        <w:t>的整数倍，全额赎回除外。</w:t>
      </w:r>
      <w:r>
        <w:rPr>
          <w:rFonts w:hint="eastAsia" w:ascii="楷体" w:hAnsi="楷体" w:eastAsia="楷体" w:cs="楷体"/>
          <w:b w:val="0"/>
          <w:bCs w:val="0"/>
          <w:color w:val="auto"/>
          <w:szCs w:val="21"/>
          <w:u w:val="none"/>
          <w:lang w:val="en-US" w:eastAsia="zh-CN"/>
        </w:rPr>
        <w:t>投资者通过代理销售机构购买理财产品的，按照代理销售机构对于交易赎回设置的相关规定执行。</w:t>
      </w:r>
      <w:r>
        <w:rPr>
          <w:rFonts w:hint="eastAsia" w:ascii="楷体" w:hAnsi="楷体" w:eastAsia="楷体" w:cs="楷体"/>
          <w:b w:val="0"/>
          <w:bCs w:val="0"/>
          <w:color w:val="auto"/>
          <w:szCs w:val="21"/>
          <w:u w:val="none"/>
        </w:rPr>
        <w:t>如投资者所持份额中，可赎回份额低于赎回申请的份额时，管理人有权拒绝该笔赎回申请。如赎回将导致单个投资者的理财产品份额余额不足</w:t>
      </w:r>
      <w:r>
        <w:rPr>
          <w:rFonts w:hint="eastAsia" w:ascii="楷体" w:hAnsi="楷体" w:eastAsia="楷体" w:cs="楷体"/>
          <w:b w:val="0"/>
          <w:bCs w:val="0"/>
          <w:color w:val="auto"/>
          <w:u w:val="none"/>
          <w:lang w:eastAsia="zh-CN"/>
        </w:rPr>
        <w:t>【0.01份】</w:t>
      </w:r>
      <w:r>
        <w:rPr>
          <w:rFonts w:hint="eastAsia" w:ascii="楷体" w:hAnsi="楷体" w:eastAsia="楷体" w:cs="楷体"/>
          <w:b w:val="0"/>
          <w:bCs w:val="0"/>
          <w:color w:val="auto"/>
          <w:szCs w:val="21"/>
          <w:u w:val="none"/>
        </w:rPr>
        <w:t>时，投资者剩余份额将被一次性全额赎回。全部赎回理财产品份额后，投资者如需再次申购，则申购的金额不得低于该份额</w:t>
      </w:r>
      <w:r>
        <w:rPr>
          <w:rFonts w:hint="eastAsia" w:ascii="楷体" w:hAnsi="楷体" w:eastAsia="楷体" w:cs="楷体"/>
          <w:b w:val="0"/>
          <w:bCs w:val="0"/>
          <w:color w:val="auto"/>
          <w:szCs w:val="21"/>
          <w:u w:val="none"/>
          <w:lang w:val="en-US" w:eastAsia="zh-CN"/>
        </w:rPr>
        <w:t>首次申购最低金额</w:t>
      </w:r>
      <w:r>
        <w:rPr>
          <w:rFonts w:hint="eastAsia" w:ascii="楷体" w:hAnsi="楷体" w:eastAsia="楷体" w:cs="楷体"/>
          <w:b w:val="0"/>
          <w:bCs w:val="0"/>
          <w:color w:val="auto"/>
          <w:szCs w:val="21"/>
          <w:u w:val="none"/>
        </w:rPr>
        <w:t>。部分赎回理财产品份额后，投资者如需再行申购，则申购最低金额为</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或</w:t>
      </w:r>
      <w:r>
        <w:rPr>
          <w:rFonts w:hint="eastAsia" w:ascii="楷体" w:hAnsi="楷体" w:eastAsia="楷体" w:cs="楷体"/>
          <w:b w:val="0"/>
          <w:bCs w:val="0"/>
          <w:color w:val="auto"/>
          <w:szCs w:val="21"/>
          <w:u w:val="none"/>
          <w:lang w:eastAsia="zh-CN"/>
        </w:rPr>
        <w:t>【1.00元】</w:t>
      </w:r>
      <w:r>
        <w:rPr>
          <w:rFonts w:hint="eastAsia" w:ascii="楷体" w:hAnsi="楷体" w:eastAsia="楷体" w:cs="楷体"/>
          <w:b w:val="0"/>
          <w:bCs w:val="0"/>
          <w:color w:val="auto"/>
          <w:szCs w:val="21"/>
          <w:u w:val="none"/>
        </w:rPr>
        <w:t>的整数倍。</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9</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销售机构受理申购/赎回申请并不表示对该申请成功的确认，而仅代表其收到了申购/赎回申请，申请是否有效应以管理人的确认为准。具体而言，投资者按规定提交申购/赎回申请并经销售机构成功受理的，申购/赎回申请成立；如管理人在申购/赎回确认日根据投资者的申请为投资者成功办理登记/赎回份额，则视为投资者的申请生效，并以管理人的登记记录为准。投资者应在交易申请相应的确认日后及时查询最终成交确认情况。</w:t>
      </w:r>
    </w:p>
    <w:p>
      <w:pPr>
        <w:spacing w:line="360" w:lineRule="auto"/>
        <w:ind w:firstLine="422" w:firstLineChars="200"/>
        <w:contextualSpacing/>
        <w:rPr>
          <w:rFonts w:hint="eastAsia" w:ascii="楷体" w:hAnsi="楷体" w:eastAsia="楷体" w:cs="楷体"/>
          <w:b/>
          <w:bCs/>
          <w:szCs w:val="21"/>
          <w:u w:val="none"/>
          <w:lang w:eastAsia="zh-CN"/>
        </w:rPr>
      </w:pPr>
      <w:r>
        <w:rPr>
          <w:rFonts w:hint="eastAsia" w:ascii="楷体" w:hAnsi="楷体" w:eastAsia="楷体" w:cs="楷体"/>
          <w:b/>
          <w:bCs/>
          <w:szCs w:val="21"/>
          <w:u w:val="none"/>
          <w:lang w:eastAsia="zh-CN"/>
        </w:rPr>
        <w:t>（</w:t>
      </w:r>
      <w:r>
        <w:rPr>
          <w:rFonts w:hint="eastAsia" w:ascii="楷体" w:hAnsi="楷体" w:eastAsia="楷体" w:cs="楷体"/>
          <w:b/>
          <w:bCs/>
          <w:szCs w:val="21"/>
          <w:u w:val="none"/>
          <w:lang w:val="en-US" w:eastAsia="zh-CN"/>
        </w:rPr>
        <w:t>10</w:t>
      </w:r>
      <w:r>
        <w:rPr>
          <w:rFonts w:hint="eastAsia" w:ascii="楷体" w:hAnsi="楷体" w:eastAsia="楷体" w:cs="楷体"/>
          <w:b/>
          <w:bCs/>
          <w:szCs w:val="21"/>
          <w:u w:val="none"/>
          <w:lang w:eastAsia="zh-CN"/>
        </w:rPr>
        <w:t>）</w:t>
      </w:r>
      <w:r>
        <w:rPr>
          <w:rFonts w:hint="eastAsia" w:ascii="楷体" w:hAnsi="楷体" w:eastAsia="楷体" w:cs="楷体"/>
          <w:b/>
          <w:bCs/>
          <w:szCs w:val="21"/>
          <w:u w:val="none"/>
        </w:rPr>
        <w:t>投资者在产品存续期内的申购/赎回撤单规则，以销售机构受理规则为准。</w:t>
      </w:r>
    </w:p>
    <w:p>
      <w:pPr>
        <w:spacing w:line="360" w:lineRule="auto"/>
        <w:ind w:firstLine="420"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11</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因不可抗力导致理财产品无法继续申购或赎回时，管理人有权暂停接受投资者的申购或赎回的申请</w:t>
      </w:r>
      <w:r>
        <w:rPr>
          <w:rFonts w:hint="eastAsia" w:ascii="楷体" w:hAnsi="楷体" w:eastAsia="楷体" w:cs="楷体"/>
          <w:b w:val="0"/>
          <w:bCs w:val="0"/>
          <w:color w:val="auto"/>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12</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如本产品连续三个开放日累计净赎回总份额达到产品份额的20%以上，管理人有权</w:t>
      </w:r>
      <w:r>
        <w:rPr>
          <w:rFonts w:hint="eastAsia" w:ascii="楷体" w:hAnsi="楷体" w:eastAsia="楷体" w:cs="楷体"/>
          <w:b w:val="0"/>
          <w:bCs w:val="0"/>
          <w:color w:val="auto"/>
          <w:u w:val="none"/>
        </w:rPr>
        <w:t>暂不接受赎回申请</w:t>
      </w:r>
      <w:r>
        <w:rPr>
          <w:rFonts w:hint="eastAsia" w:ascii="楷体" w:hAnsi="楷体" w:eastAsia="楷体" w:cs="楷体"/>
          <w:b w:val="0"/>
          <w:bCs w:val="0"/>
          <w:color w:val="auto"/>
          <w:szCs w:val="21"/>
          <w:u w:val="none"/>
        </w:rPr>
        <w:t>或按比例接受赎回申请。</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13</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发生暂停估值情形的，管理人有权采取延缓支付赎回款项或暂停接受理财产品申购、赎回申请等措施。</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5</w:t>
      </w:r>
      <w:r>
        <w:rPr>
          <w:rFonts w:hint="eastAsia" w:ascii="楷体" w:hAnsi="楷体" w:eastAsia="楷体" w:cs="楷体"/>
          <w:b w:val="0"/>
          <w:bCs w:val="0"/>
          <w:color w:val="auto"/>
          <w:szCs w:val="21"/>
          <w:u w:val="none"/>
        </w:rPr>
        <w:t>.巨额赎回</w:t>
      </w:r>
      <w:r>
        <w:rPr>
          <w:rFonts w:hint="eastAsia" w:ascii="楷体" w:hAnsi="楷体" w:eastAsia="楷体" w:cs="楷体"/>
          <w:b w:val="0"/>
          <w:bCs w:val="0"/>
          <w:color w:val="auto"/>
          <w:szCs w:val="21"/>
          <w:u w:val="none"/>
          <w:lang w:val="en-US" w:eastAsia="zh-CN"/>
        </w:rPr>
        <w:t>的情形及处理方式</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1</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巨额赎回的认定</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rPr>
        <w:t>投资者在最短持有期后的每个赎回开放日向销售机构提出赎回申请，如该赎回开放日内净赎回</w:t>
      </w:r>
      <w:r>
        <w:rPr>
          <w:rFonts w:hint="eastAsia" w:ascii="楷体" w:hAnsi="楷体" w:eastAsia="楷体" w:cs="楷体"/>
          <w:b/>
          <w:bCs/>
          <w:szCs w:val="21"/>
          <w:u w:val="none"/>
          <w:lang w:val="en-US" w:eastAsia="zh-CN"/>
        </w:rPr>
        <w:t>申请份</w:t>
      </w:r>
      <w:r>
        <w:rPr>
          <w:rFonts w:hint="eastAsia" w:ascii="楷体" w:hAnsi="楷体" w:eastAsia="楷体" w:cs="楷体"/>
          <w:b/>
          <w:bCs/>
          <w:szCs w:val="21"/>
          <w:u w:val="none"/>
        </w:rPr>
        <w:t>额</w:t>
      </w:r>
      <w:r>
        <w:rPr>
          <w:rFonts w:hint="eastAsia" w:ascii="楷体" w:hAnsi="楷体" w:eastAsia="楷体" w:cs="楷体"/>
          <w:b/>
          <w:bCs/>
          <w:u w:val="none"/>
        </w:rPr>
        <w:t>（赎回申请份额总数扣除申购申请份额总数）</w:t>
      </w:r>
      <w:r>
        <w:rPr>
          <w:rFonts w:hint="eastAsia" w:ascii="楷体" w:hAnsi="楷体" w:eastAsia="楷体" w:cs="楷体"/>
          <w:b/>
          <w:bCs/>
          <w:szCs w:val="21"/>
          <w:u w:val="none"/>
        </w:rPr>
        <w:t>合计超过理财产品上一</w:t>
      </w:r>
      <w:r>
        <w:rPr>
          <w:rFonts w:hint="eastAsia" w:ascii="楷体" w:hAnsi="楷体" w:eastAsia="楷体" w:cs="楷体"/>
          <w:b/>
          <w:bCs/>
          <w:szCs w:val="21"/>
          <w:u w:val="none"/>
          <w:lang w:eastAsia="zh-CN"/>
        </w:rPr>
        <w:t>【交易日】</w:t>
      </w:r>
      <w:r>
        <w:rPr>
          <w:rFonts w:hint="eastAsia" w:ascii="楷体" w:hAnsi="楷体" w:eastAsia="楷体" w:cs="楷体"/>
          <w:b/>
          <w:bCs/>
          <w:szCs w:val="21"/>
          <w:u w:val="none"/>
        </w:rPr>
        <w:t>日终总份额的</w:t>
      </w:r>
      <w:r>
        <w:rPr>
          <w:rFonts w:hint="eastAsia" w:ascii="楷体" w:hAnsi="楷体" w:eastAsia="楷体" w:cs="楷体"/>
          <w:b/>
          <w:bCs/>
          <w:color w:val="auto"/>
          <w:szCs w:val="21"/>
          <w:u w:val="none"/>
        </w:rPr>
        <w:t>10%</w:t>
      </w:r>
      <w:r>
        <w:rPr>
          <w:rFonts w:hint="eastAsia" w:ascii="楷体" w:hAnsi="楷体" w:eastAsia="楷体" w:cs="楷体"/>
          <w:b/>
          <w:bCs/>
          <w:szCs w:val="21"/>
          <w:u w:val="none"/>
        </w:rPr>
        <w:t>，则发生巨额赎回事件。</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巨额赎回的处理方式</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rPr>
        <w:t>在发生巨额赎回时，管理人有权依照理财产品当时的资产组合状况决定全额赎回、部分赎回或延缓支付。</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A</w:t>
      </w:r>
      <w:r>
        <w:rPr>
          <w:rFonts w:hint="eastAsia" w:ascii="楷体" w:hAnsi="楷体" w:eastAsia="楷体" w:cs="楷体"/>
          <w:b/>
          <w:bCs/>
          <w:szCs w:val="21"/>
          <w:u w:val="none"/>
        </w:rPr>
        <w:t>.全额赎</w:t>
      </w:r>
      <w:r>
        <w:rPr>
          <w:rFonts w:hint="eastAsia" w:ascii="楷体" w:hAnsi="楷体" w:eastAsia="楷体" w:cs="楷体"/>
          <w:b/>
          <w:bCs/>
          <w:spacing w:val="20"/>
          <w:sz w:val="21"/>
          <w:szCs w:val="21"/>
          <w:u w:val="none"/>
        </w:rPr>
        <w:t>回：</w:t>
      </w:r>
      <w:r>
        <w:rPr>
          <w:rFonts w:hint="eastAsia" w:ascii="楷体" w:hAnsi="楷体" w:eastAsia="楷体" w:cs="楷体"/>
          <w:b w:val="0"/>
          <w:bCs w:val="0"/>
          <w:szCs w:val="21"/>
          <w:u w:val="none"/>
        </w:rPr>
        <w:t>当管理人有能力支付投资者的全部赎回申请时，按正常赎回程序</w:t>
      </w:r>
      <w:r>
        <w:rPr>
          <w:rFonts w:hint="eastAsia" w:ascii="楷体" w:hAnsi="楷体" w:eastAsia="楷体" w:cs="楷体"/>
          <w:b w:val="0"/>
          <w:bCs w:val="0"/>
          <w:szCs w:val="21"/>
          <w:u w:val="none"/>
          <w:lang w:val="en-US" w:eastAsia="zh-CN"/>
        </w:rPr>
        <w:t>执</w:t>
      </w:r>
      <w:r>
        <w:rPr>
          <w:rFonts w:hint="eastAsia" w:ascii="楷体" w:hAnsi="楷体" w:eastAsia="楷体" w:cs="楷体"/>
          <w:b w:val="0"/>
          <w:bCs w:val="0"/>
          <w:szCs w:val="21"/>
          <w:u w:val="none"/>
        </w:rPr>
        <w:t>行；</w:t>
      </w:r>
    </w:p>
    <w:p>
      <w:pPr>
        <w:spacing w:line="360" w:lineRule="auto"/>
        <w:ind w:firstLine="422" w:firstLineChars="200"/>
        <w:contextualSpacing/>
        <w:rPr>
          <w:rFonts w:hint="eastAsia" w:ascii="楷体" w:hAnsi="楷体" w:eastAsia="楷体" w:cs="楷体"/>
          <w:b w:val="0"/>
          <w:bCs w:val="0"/>
          <w:color w:val="auto"/>
          <w:szCs w:val="21"/>
          <w:u w:val="none"/>
        </w:rPr>
      </w:pPr>
      <w:r>
        <w:rPr>
          <w:rFonts w:hint="eastAsia" w:ascii="楷体" w:hAnsi="楷体" w:eastAsia="楷体" w:cs="楷体"/>
          <w:b/>
          <w:bCs/>
          <w:szCs w:val="21"/>
          <w:u w:val="none"/>
        </w:rPr>
        <w:t>B.部分赎</w:t>
      </w:r>
      <w:r>
        <w:rPr>
          <w:rFonts w:hint="eastAsia" w:ascii="楷体" w:hAnsi="楷体" w:eastAsia="楷体" w:cs="楷体"/>
          <w:b/>
          <w:bCs/>
          <w:spacing w:val="20"/>
          <w:sz w:val="21"/>
          <w:szCs w:val="21"/>
          <w:u w:val="none"/>
        </w:rPr>
        <w:t>回：</w:t>
      </w:r>
      <w:r>
        <w:rPr>
          <w:rFonts w:hint="eastAsia" w:ascii="楷体" w:hAnsi="楷体" w:eastAsia="楷体" w:cs="楷体"/>
          <w:b w:val="0"/>
          <w:bCs w:val="0"/>
          <w:szCs w:val="21"/>
          <w:u w:val="none"/>
          <w:lang w:val="en-US" w:eastAsia="zh-CN"/>
        </w:rPr>
        <w:t>当管理人认为支付投资者的赎回款项有困难或认为因支付投资者的赎回款项而进行的资产变现可能会对理财产品资产净值造成较大波动等情形时，在当日接受赎回比</w:t>
      </w:r>
      <w:r>
        <w:rPr>
          <w:rFonts w:hint="eastAsia" w:ascii="楷体" w:hAnsi="楷体" w:eastAsia="楷体" w:cs="楷体"/>
          <w:b w:val="0"/>
          <w:bCs w:val="0"/>
          <w:color w:val="auto"/>
          <w:szCs w:val="21"/>
          <w:u w:val="none"/>
          <w:lang w:val="en-US" w:eastAsia="zh-CN"/>
        </w:rPr>
        <w:t>例不低于上一【交易日】日终理财产品总份额的10%的前提下，管理人有权暂停接受超过10%以上部分的赎回申请，或对超过10%以上部分的赎回申请延期办理。</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若管理人对于超过10%以上部分的赎回申请选择延期办理，</w:t>
      </w:r>
      <w:r>
        <w:rPr>
          <w:rFonts w:hint="eastAsia" w:ascii="楷体" w:hAnsi="楷体" w:eastAsia="楷体" w:cs="楷体"/>
          <w:b w:val="0"/>
          <w:bCs w:val="0"/>
          <w:color w:val="auto"/>
          <w:szCs w:val="21"/>
          <w:u w:val="none"/>
        </w:rPr>
        <w:t>管理人有权按照赎回开放日内投资者赎回递交申请的顺序，依照时间优先（即先申请、先赎回）的原则确认投资者的赎回申请；或对赎回开放日内投资者的所有赎回申请同等按照一定比例进行确认。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spacing w:line="360" w:lineRule="auto"/>
        <w:ind w:firstLine="422" w:firstLineChars="200"/>
        <w:contextualSpacing/>
        <w:rPr>
          <w:rFonts w:hint="eastAsia" w:ascii="楷体" w:hAnsi="楷体" w:eastAsia="楷体" w:cs="楷体"/>
          <w:b w:val="0"/>
          <w:bCs w:val="0"/>
          <w:color w:val="auto"/>
          <w:szCs w:val="21"/>
          <w:u w:val="none"/>
          <w:lang w:eastAsia="zh-CN"/>
        </w:rPr>
      </w:pPr>
      <w:r>
        <w:rPr>
          <w:rFonts w:hint="eastAsia" w:ascii="楷体" w:hAnsi="楷体" w:eastAsia="楷体" w:cs="楷体"/>
          <w:b/>
          <w:bCs/>
          <w:color w:val="auto"/>
          <w:szCs w:val="21"/>
          <w:u w:val="none"/>
          <w:lang w:val="en-US" w:eastAsia="zh-CN"/>
        </w:rPr>
        <w:t>C</w:t>
      </w:r>
      <w:r>
        <w:rPr>
          <w:rFonts w:hint="eastAsia" w:ascii="楷体" w:hAnsi="楷体" w:eastAsia="楷体" w:cs="楷体"/>
          <w:b/>
          <w:bCs/>
          <w:color w:val="auto"/>
          <w:szCs w:val="21"/>
          <w:u w:val="none"/>
        </w:rPr>
        <w:t>.</w:t>
      </w:r>
      <w:r>
        <w:rPr>
          <w:rFonts w:hint="eastAsia" w:ascii="楷体" w:hAnsi="楷体" w:eastAsia="楷体" w:cs="楷体"/>
          <w:b/>
          <w:bCs/>
          <w:color w:val="auto"/>
          <w:szCs w:val="21"/>
          <w:u w:val="none"/>
          <w:lang w:val="en-US" w:eastAsia="zh-CN"/>
        </w:rPr>
        <w:t>延缓支</w:t>
      </w:r>
      <w:r>
        <w:rPr>
          <w:rFonts w:hint="eastAsia" w:ascii="楷体" w:hAnsi="楷体" w:eastAsia="楷体" w:cs="楷体"/>
          <w:b/>
          <w:bCs/>
          <w:spacing w:val="23"/>
          <w:sz w:val="21"/>
          <w:szCs w:val="21"/>
          <w:u w:val="none"/>
          <w:lang w:val="en-US" w:eastAsia="zh-CN"/>
        </w:rPr>
        <w:t>付</w:t>
      </w:r>
      <w:r>
        <w:rPr>
          <w:rFonts w:hint="eastAsia" w:ascii="楷体" w:hAnsi="楷体" w:eastAsia="楷体" w:cs="楷体"/>
          <w:b/>
          <w:bCs/>
          <w:spacing w:val="23"/>
          <w:sz w:val="21"/>
          <w:szCs w:val="21"/>
          <w:u w:val="none"/>
        </w:rPr>
        <w:t>：</w:t>
      </w:r>
      <w:r>
        <w:rPr>
          <w:rFonts w:hint="eastAsia" w:ascii="楷体" w:hAnsi="楷体" w:eastAsia="楷体" w:cs="楷体"/>
          <w:b w:val="0"/>
          <w:bCs w:val="0"/>
          <w:color w:val="auto"/>
          <w:szCs w:val="21"/>
          <w:u w:val="none"/>
        </w:rPr>
        <w:t>选择延缓支付时，管理人应当接受并确认所有的赎回申请，当日按比例办理的赎回份额不得低于理财产品上一</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产品总份额的10%，其余赎回申请可以延缓支付赎回款项，但延缓支付的期限不得超过</w:t>
      </w:r>
      <w:r>
        <w:rPr>
          <w:rFonts w:hint="eastAsia" w:ascii="楷体" w:hAnsi="楷体" w:eastAsia="楷体" w:cs="楷体"/>
          <w:b w:val="0"/>
          <w:bCs w:val="0"/>
          <w:color w:val="auto"/>
          <w:szCs w:val="21"/>
          <w:u w:val="none"/>
          <w:lang w:val="en-US" w:eastAsia="zh-CN"/>
        </w:rPr>
        <w:t>20</w:t>
      </w:r>
      <w:r>
        <w:rPr>
          <w:rFonts w:hint="eastAsia" w:ascii="楷体" w:hAnsi="楷体" w:eastAsia="楷体" w:cs="楷体"/>
          <w:b w:val="0"/>
          <w:bCs w:val="0"/>
          <w:color w:val="auto"/>
          <w:szCs w:val="21"/>
          <w:u w:val="none"/>
        </w:rPr>
        <w:t>个工作日</w:t>
      </w:r>
      <w:r>
        <w:rPr>
          <w:rFonts w:hint="eastAsia" w:ascii="楷体" w:hAnsi="楷体" w:eastAsia="楷体" w:cs="楷体"/>
          <w:b w:val="0"/>
          <w:bCs w:val="0"/>
          <w:color w:val="auto"/>
          <w:szCs w:val="21"/>
          <w:u w:val="none"/>
          <w:lang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当发生巨额赎回或连续巨额赎回，管理人选择延期办理巨额赎回申请、暂停接受赎回申请或延缓支付时，管理人将根据本理财《产品说明书》“信息披露”约定的方式向投资者进行信息披露。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示例：如果最新理财产品的在赎回开放日的上一</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的总存续份额为2000万份，在赎回开放日投资者净赎回</w:t>
      </w:r>
      <w:r>
        <w:rPr>
          <w:rFonts w:hint="eastAsia" w:ascii="楷体" w:hAnsi="楷体" w:eastAsia="楷体" w:cs="楷体"/>
          <w:b w:val="0"/>
          <w:bCs w:val="0"/>
          <w:color w:val="auto"/>
          <w:szCs w:val="21"/>
          <w:u w:val="none"/>
          <w:lang w:val="en-US" w:eastAsia="zh-CN"/>
        </w:rPr>
        <w:t>申请</w:t>
      </w:r>
      <w:r>
        <w:rPr>
          <w:rFonts w:hint="eastAsia" w:ascii="楷体" w:hAnsi="楷体" w:eastAsia="楷体" w:cs="楷体"/>
          <w:b w:val="0"/>
          <w:bCs w:val="0"/>
          <w:color w:val="auto"/>
          <w:szCs w:val="21"/>
          <w:u w:val="none"/>
        </w:rPr>
        <w:t>份额大于200万份，管理人有权选择接受全部赎回申请，或选择接受部分赎回或延缓支付赎回款项。选择部分赎回或延缓支付时，按正常赎回程序执行总的净赎回申请不得低于200万份。</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6</w:t>
      </w:r>
      <w:r>
        <w:rPr>
          <w:rFonts w:hint="eastAsia" w:ascii="楷体" w:hAnsi="楷体" w:eastAsia="楷体" w:cs="楷体"/>
          <w:b w:val="0"/>
          <w:bCs w:val="0"/>
          <w:color w:val="auto"/>
          <w:szCs w:val="21"/>
          <w:u w:val="none"/>
        </w:rPr>
        <w:t>.</w:t>
      </w:r>
      <w:r>
        <w:rPr>
          <w:rFonts w:hint="eastAsia" w:ascii="楷体" w:hAnsi="楷体" w:eastAsia="楷体" w:cs="楷体"/>
          <w:b w:val="0"/>
          <w:bCs w:val="0"/>
          <w:szCs w:val="21"/>
          <w:u w:val="none"/>
        </w:rPr>
        <w:t>申购、赎回程序</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（1）申购、赎回的申请方式</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投资者必须在投资封闭期之后的开放日提出申购</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赎回</w:t>
      </w:r>
      <w:r>
        <w:rPr>
          <w:rFonts w:hint="eastAsia" w:ascii="楷体" w:hAnsi="楷体" w:eastAsia="楷体" w:cs="楷体"/>
          <w:b w:val="0"/>
          <w:bCs w:val="0"/>
          <w:color w:val="auto"/>
          <w:szCs w:val="21"/>
          <w:u w:val="none"/>
        </w:rPr>
        <w:t>申请。</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投资者在提交申购申请时，须备足申购资金。投资者的申购申请被受理后，销售机构有权冻结人民币资金形式的申购款项，冻结期间管理人不向投资者计付利息，是否计付利息以销售机构为准。</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投资者提交赎回申请时，必须有足够的理财产品份额余额。</w:t>
      </w:r>
    </w:p>
    <w:p>
      <w:pPr>
        <w:numPr>
          <w:ilvl w:val="0"/>
          <w:numId w:val="5"/>
        </w:num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申购和赎回的确认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管理人在申购、赎回确认日对投资者的申购、赎回申请的有效性进行登记并确认。</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本理财产品交易时段为管理人业务处理系统记录的每日北京时间</w:t>
      </w:r>
      <w:r>
        <w:rPr>
          <w:rFonts w:hint="eastAsia" w:ascii="楷体" w:hAnsi="楷体" w:eastAsia="楷体" w:cs="楷体"/>
          <w:b w:val="0"/>
          <w:bCs w:val="0"/>
          <w:color w:val="auto"/>
          <w:szCs w:val="21"/>
          <w:u w:val="none"/>
          <w:lang w:eastAsia="zh-CN"/>
        </w:rPr>
        <w:t>0:00</w:t>
      </w:r>
      <w:r>
        <w:rPr>
          <w:rFonts w:hint="eastAsia" w:ascii="楷体" w:hAnsi="楷体" w:eastAsia="楷体" w:cs="楷体"/>
          <w:b w:val="0"/>
          <w:bCs w:val="0"/>
          <w:color w:val="auto"/>
          <w:szCs w:val="21"/>
          <w:u w:val="none"/>
        </w:rPr>
        <w:t>起至</w:t>
      </w:r>
      <w:r>
        <w:rPr>
          <w:rFonts w:hint="eastAsia" w:ascii="楷体" w:hAnsi="楷体" w:eastAsia="楷体" w:cs="楷体"/>
          <w:b w:val="0"/>
          <w:bCs w:val="0"/>
          <w:color w:val="auto"/>
          <w:szCs w:val="21"/>
          <w:u w:val="none"/>
          <w:lang w:eastAsia="zh-CN"/>
        </w:rPr>
        <w:t>24:00</w:t>
      </w:r>
      <w:r>
        <w:rPr>
          <w:rFonts w:hint="eastAsia" w:ascii="楷体" w:hAnsi="楷体" w:eastAsia="楷体" w:cs="楷体"/>
          <w:b w:val="0"/>
          <w:bCs w:val="0"/>
          <w:color w:val="auto"/>
          <w:szCs w:val="21"/>
          <w:u w:val="none"/>
        </w:rPr>
        <w:t>止（系统清算时间除外），</w:t>
      </w:r>
      <w:r>
        <w:rPr>
          <w:rFonts w:hint="eastAsia" w:ascii="楷体" w:hAnsi="楷体" w:eastAsia="楷体" w:cs="楷体"/>
          <w:b/>
          <w:bCs/>
          <w:color w:val="auto"/>
          <w:szCs w:val="21"/>
          <w:u w:val="none"/>
          <w:lang w:val="en-US" w:eastAsia="zh-CN"/>
        </w:rPr>
        <w:t>销售机构</w:t>
      </w:r>
      <w:r>
        <w:rPr>
          <w:rFonts w:hint="eastAsia" w:ascii="楷体" w:hAnsi="楷体" w:eastAsia="楷体" w:cs="楷体"/>
          <w:b/>
          <w:bCs/>
          <w:color w:val="auto"/>
          <w:szCs w:val="21"/>
          <w:u w:val="none"/>
        </w:rPr>
        <w:t>实际受理申购或赎回的时间可能与说明书不一致，具体以销售机构</w:t>
      </w:r>
      <w:r>
        <w:rPr>
          <w:rFonts w:hint="eastAsia" w:ascii="楷体" w:hAnsi="楷体" w:eastAsia="楷体" w:cs="楷体"/>
          <w:b/>
          <w:bCs/>
          <w:color w:val="auto"/>
          <w:szCs w:val="21"/>
          <w:u w:val="none"/>
          <w:lang w:val="en-US" w:eastAsia="zh-CN"/>
        </w:rPr>
        <w:t>规则</w:t>
      </w:r>
      <w:r>
        <w:rPr>
          <w:rFonts w:hint="eastAsia" w:ascii="楷体" w:hAnsi="楷体" w:eastAsia="楷体" w:cs="楷体"/>
          <w:b/>
          <w:bCs/>
          <w:color w:val="auto"/>
          <w:szCs w:val="21"/>
          <w:u w:val="none"/>
        </w:rPr>
        <w:t>为准。</w:t>
      </w:r>
      <w:r>
        <w:rPr>
          <w:rFonts w:hint="eastAsia" w:ascii="楷体" w:hAnsi="楷体" w:eastAsia="楷体" w:cs="楷体"/>
          <w:b w:val="0"/>
          <w:bCs w:val="0"/>
          <w:color w:val="auto"/>
          <w:szCs w:val="21"/>
          <w:u w:val="none"/>
        </w:rPr>
        <w:t>具体申购、赎回份额确认规则如下：</w:t>
      </w:r>
    </w:p>
    <w:tbl>
      <w:tblPr>
        <w:tblStyle w:val="10"/>
        <w:tblW w:w="76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00"/>
        <w:gridCol w:w="2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bCs/>
                <w:color w:val="auto"/>
                <w:szCs w:val="21"/>
                <w:u w:val="none"/>
              </w:rPr>
            </w:pPr>
            <w:r>
              <w:rPr>
                <w:rFonts w:hint="eastAsia" w:ascii="楷体" w:hAnsi="楷体" w:eastAsia="楷体" w:cs="楷体"/>
                <w:b/>
                <w:bCs/>
                <w:color w:val="auto"/>
                <w:szCs w:val="21"/>
                <w:u w:val="none"/>
              </w:rPr>
              <w:t>交易申请时间</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bCs/>
                <w:color w:val="auto"/>
                <w:szCs w:val="21"/>
                <w:u w:val="none"/>
              </w:rPr>
            </w:pPr>
            <w:r>
              <w:rPr>
                <w:rFonts w:hint="eastAsia" w:ascii="楷体" w:hAnsi="楷体" w:eastAsia="楷体" w:cs="楷体"/>
                <w:b/>
                <w:bCs/>
                <w:color w:val="auto"/>
                <w:szCs w:val="21"/>
                <w:u w:val="none"/>
              </w:rPr>
              <w:t>交易确认日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楷体"/>
                <w:b w:val="0"/>
                <w:bCs w:val="0"/>
                <w:color w:val="auto"/>
                <w:u w:val="none"/>
              </w:rPr>
            </w:pPr>
            <w:r>
              <w:rPr>
                <w:rFonts w:hint="eastAsia" w:ascii="楷体" w:hAnsi="楷体" w:eastAsia="楷体" w:cs="楷体"/>
                <w:b w:val="0"/>
                <w:bCs w:val="0"/>
                <w:color w:val="auto"/>
                <w:szCs w:val="21"/>
                <w:highlight w:val="none"/>
                <w:u w:val="none"/>
              </w:rPr>
              <w:t>每个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highlight w:val="none"/>
                <w:u w:val="none"/>
              </w:rPr>
              <w:t>（T日）</w:t>
            </w:r>
          </w:p>
          <w:p>
            <w:pPr>
              <w:contextualSpacing/>
              <w:jc w:val="cente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szCs w:val="21"/>
                <w:u w:val="none"/>
                <w:lang w:eastAsia="zh-CN"/>
              </w:rPr>
              <w:t>0:00</w:t>
            </w:r>
            <w:r>
              <w:rPr>
                <w:rFonts w:hint="eastAsia" w:ascii="楷体" w:hAnsi="楷体" w:eastAsia="楷体" w:cs="楷体"/>
                <w:b w:val="0"/>
                <w:bCs w:val="0"/>
                <w:color w:val="auto"/>
                <w:szCs w:val="21"/>
                <w:highlight w:val="none"/>
                <w:u w:val="none"/>
              </w:rPr>
              <w:t>-</w:t>
            </w:r>
            <w:r>
              <w:rPr>
                <w:rFonts w:hint="eastAsia" w:ascii="楷体" w:hAnsi="楷体" w:eastAsia="楷体" w:cs="楷体"/>
                <w:b w:val="0"/>
                <w:bCs w:val="0"/>
                <w:color w:val="auto"/>
                <w:szCs w:val="21"/>
                <w:u w:val="none"/>
                <w:lang w:eastAsia="zh-CN"/>
              </w:rPr>
              <w:t>【16:00】</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T+</w:t>
            </w:r>
            <w:r>
              <w:rPr>
                <w:rFonts w:hint="eastAsia" w:ascii="楷体" w:hAnsi="楷体" w:eastAsia="楷体" w:cs="楷体"/>
                <w:b w:val="0"/>
                <w:bCs w:val="0"/>
                <w:color w:val="auto"/>
                <w:szCs w:val="21"/>
                <w:u w:val="none"/>
                <w:lang w:eastAsia="zh-CN"/>
              </w:rPr>
              <w:t>【1】【交易日】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contextualSpacing w:val="0"/>
              <w:jc w:val="center"/>
              <w:rPr>
                <w:rFonts w:hint="eastAsia" w:ascii="楷体" w:hAnsi="楷体" w:eastAsia="楷体" w:cs="楷体"/>
                <w:b w:val="0"/>
                <w:bCs w:val="0"/>
                <w:color w:val="auto"/>
                <w:szCs w:val="21"/>
                <w:highlight w:val="none"/>
                <w:u w:val="none"/>
              </w:rPr>
            </w:pPr>
            <w:r>
              <w:rPr>
                <w:rFonts w:hint="eastAsia" w:ascii="楷体" w:hAnsi="楷体" w:eastAsia="楷体" w:cs="楷体"/>
                <w:b w:val="0"/>
                <w:bCs w:val="0"/>
                <w:color w:val="auto"/>
                <w:szCs w:val="21"/>
                <w:highlight w:val="none"/>
                <w:u w:val="none"/>
              </w:rPr>
              <w:t>每个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highlight w:val="none"/>
                <w:u w:val="none"/>
              </w:rPr>
              <w:t>（T日）</w:t>
            </w:r>
          </w:p>
          <w:p>
            <w:pPr>
              <w:contextualSpacing/>
              <w:jc w:val="center"/>
              <w:rPr>
                <w:rFonts w:hint="eastAsia" w:ascii="楷体" w:hAnsi="楷体" w:eastAsia="楷体" w:cs="楷体"/>
                <w:b w:val="0"/>
                <w:bCs w:val="0"/>
                <w:color w:val="auto"/>
                <w:szCs w:val="21"/>
                <w:highlight w:val="none"/>
                <w:u w:val="none"/>
                <w:lang w:eastAsia="zh-CN"/>
              </w:rPr>
            </w:pPr>
            <w:r>
              <w:rPr>
                <w:rFonts w:hint="eastAsia" w:ascii="楷体" w:hAnsi="楷体" w:eastAsia="楷体" w:cs="楷体"/>
                <w:b w:val="0"/>
                <w:bCs w:val="0"/>
                <w:color w:val="auto"/>
                <w:szCs w:val="21"/>
                <w:u w:val="none"/>
                <w:lang w:eastAsia="zh-CN"/>
              </w:rPr>
              <w:t>【16:00】</w:t>
            </w:r>
            <w:r>
              <w:rPr>
                <w:rFonts w:hint="eastAsia" w:ascii="楷体" w:hAnsi="楷体" w:eastAsia="楷体" w:cs="楷体"/>
                <w:b w:val="0"/>
                <w:bCs w:val="0"/>
                <w:color w:val="auto"/>
                <w:szCs w:val="21"/>
                <w:highlight w:val="none"/>
                <w:u w:val="none"/>
              </w:rPr>
              <w:t>-</w:t>
            </w:r>
            <w:r>
              <w:rPr>
                <w:rFonts w:hint="eastAsia" w:ascii="楷体" w:hAnsi="楷体" w:eastAsia="楷体" w:cs="楷体"/>
                <w:b w:val="0"/>
                <w:bCs w:val="0"/>
                <w:color w:val="auto"/>
                <w:szCs w:val="21"/>
                <w:u w:val="none"/>
                <w:lang w:eastAsia="zh-CN"/>
              </w:rPr>
              <w:t>24:00</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T+</w:t>
            </w:r>
            <w:r>
              <w:rPr>
                <w:rFonts w:hint="eastAsia" w:ascii="楷体" w:hAnsi="楷体" w:eastAsia="楷体" w:cs="楷体"/>
                <w:b w:val="0"/>
                <w:bCs w:val="0"/>
                <w:color w:val="auto"/>
                <w:szCs w:val="21"/>
                <w:u w:val="none"/>
                <w:lang w:eastAsia="zh-CN"/>
              </w:rPr>
              <w:t>【2】【交易日】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5500" w:type="dxa"/>
            <w:tcBorders>
              <w:top w:val="single" w:color="000000" w:sz="4" w:space="0"/>
              <w:left w:val="single" w:color="000000" w:sz="4" w:space="0"/>
              <w:bottom w:val="single" w:color="000000" w:sz="4" w:space="0"/>
              <w:right w:val="single" w:color="000000" w:sz="4" w:space="0"/>
            </w:tcBorders>
            <w:vAlign w:val="center"/>
          </w:tcPr>
          <w:p>
            <w:pPr>
              <w:contextualSpacing w:val="0"/>
              <w:jc w:val="center"/>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非</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（T日）</w:t>
            </w:r>
          </w:p>
        </w:tc>
        <w:tc>
          <w:tcPr>
            <w:tcW w:w="2109" w:type="dxa"/>
            <w:tcBorders>
              <w:top w:val="single" w:color="000000" w:sz="4" w:space="0"/>
              <w:left w:val="single" w:color="000000" w:sz="4" w:space="0"/>
              <w:bottom w:val="single" w:color="000000" w:sz="4" w:space="0"/>
              <w:right w:val="single" w:color="000000" w:sz="4" w:space="0"/>
            </w:tcBorders>
            <w:vAlign w:val="center"/>
          </w:tcPr>
          <w:p>
            <w:pPr>
              <w:contextualSpacing/>
              <w:jc w:val="center"/>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rPr>
              <w:t>T+</w:t>
            </w:r>
            <w:r>
              <w:rPr>
                <w:rFonts w:hint="eastAsia" w:ascii="楷体" w:hAnsi="楷体" w:eastAsia="楷体" w:cs="楷体"/>
                <w:b w:val="0"/>
                <w:bCs w:val="0"/>
                <w:color w:val="auto"/>
                <w:szCs w:val="21"/>
                <w:u w:val="none"/>
                <w:lang w:eastAsia="zh-CN"/>
              </w:rPr>
              <w:t>【2】【交易日】</w:t>
            </w:r>
          </w:p>
        </w:tc>
      </w:tr>
    </w:tbl>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3</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申购和赎回的支付</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管理人在申购交易确认日（见受理、交易确认与估值对应时间部分的内容）进行投资者份额确认并由销售机构扣减投资者账户资金，扣划款项成功后投资者申购成功。投资者申购成功后，可在此后该理财份额对应的任意可赎回开放日赎回部分或全部申购份额。</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确认投资者赎回成功后，管理人将为投资者扣减份额，并将投资者应得的赎回资金于赎回确认日后3个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内通过销售机构划转至投资者账户。</w:t>
      </w:r>
    </w:p>
    <w:p>
      <w:pPr>
        <w:spacing w:line="360" w:lineRule="auto"/>
        <w:ind w:firstLine="420" w:firstLineChars="200"/>
        <w:contextualSpacing/>
        <w:outlineLvl w:val="2"/>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7</w:t>
      </w:r>
      <w:r>
        <w:rPr>
          <w:rFonts w:hint="eastAsia" w:ascii="楷体" w:hAnsi="楷体" w:eastAsia="楷体" w:cs="楷体"/>
          <w:b w:val="0"/>
          <w:bCs w:val="0"/>
          <w:color w:val="auto"/>
          <w:szCs w:val="21"/>
          <w:u w:val="none"/>
        </w:rPr>
        <w:t>.申购份额和赎回金额的计算</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（1）申购份额的计算</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本理财产品申购份额的具体计算方法如下：</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申购份额＝申购金额÷（1+申购费率）÷确认日</w:t>
      </w:r>
      <w:r>
        <w:rPr>
          <w:rFonts w:hint="eastAsia" w:ascii="楷体" w:hAnsi="楷体" w:eastAsia="楷体" w:cs="楷体"/>
          <w:b w:val="0"/>
          <w:bCs w:val="0"/>
          <w:color w:val="auto"/>
          <w:szCs w:val="21"/>
          <w:u w:val="none"/>
          <w:lang w:val="en-US" w:eastAsia="zh-CN"/>
        </w:rPr>
        <w:t>前</w:t>
      </w:r>
      <w:r>
        <w:rPr>
          <w:rFonts w:hint="eastAsia" w:ascii="楷体" w:hAnsi="楷体" w:eastAsia="楷体" w:cs="楷体"/>
          <w:b w:val="0"/>
          <w:bCs w:val="0"/>
          <w:color w:val="auto"/>
          <w:szCs w:val="21"/>
          <w:u w:val="none"/>
          <w:lang w:eastAsia="zh-CN"/>
        </w:rPr>
        <w:t>【1】</w:t>
      </w:r>
      <w:r>
        <w:rPr>
          <w:rFonts w:hint="eastAsia" w:ascii="楷体" w:hAnsi="楷体" w:eastAsia="楷体" w:cs="楷体"/>
          <w:b w:val="0"/>
          <w:bCs w:val="0"/>
          <w:color w:val="auto"/>
          <w:szCs w:val="21"/>
          <w:u w:val="none"/>
          <w:lang w:val="en-US" w:eastAsia="zh-CN"/>
        </w:rPr>
        <w:t>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w:t>
      </w:r>
      <w:r>
        <w:rPr>
          <w:rFonts w:hint="eastAsia" w:ascii="楷体" w:hAnsi="楷体" w:eastAsia="楷体" w:cs="楷体"/>
          <w:b w:val="0"/>
          <w:bCs w:val="0"/>
          <w:color w:val="auto"/>
          <w:szCs w:val="21"/>
          <w:u w:val="none"/>
          <w:lang w:val="en-US" w:eastAsia="zh-CN"/>
        </w:rPr>
        <w:t>值</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申购份额保留至小数点后2位（保留2位小数，四舍五入）。</w:t>
      </w:r>
    </w:p>
    <w:p>
      <w:pPr>
        <w:spacing w:line="360" w:lineRule="auto"/>
        <w:ind w:firstLine="420"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u w:val="none"/>
          <w:lang w:val="en-US" w:eastAsia="zh-CN"/>
        </w:rPr>
        <w:t>本理财产品</w:t>
      </w:r>
      <w:r>
        <w:rPr>
          <w:rFonts w:hint="eastAsia" w:ascii="楷体" w:hAnsi="楷体" w:eastAsia="楷体" w:cs="楷体"/>
          <w:b w:val="0"/>
          <w:bCs w:val="0"/>
          <w:color w:val="auto"/>
          <w:szCs w:val="21"/>
          <w:u w:val="none"/>
        </w:rPr>
        <w:t>申购费</w:t>
      </w:r>
      <w:r>
        <w:rPr>
          <w:rFonts w:hint="eastAsia" w:ascii="楷体" w:hAnsi="楷体" w:eastAsia="楷体" w:cs="楷体"/>
          <w:b w:val="0"/>
          <w:bCs w:val="0"/>
          <w:color w:val="auto"/>
          <w:szCs w:val="21"/>
          <w:u w:val="none"/>
          <w:lang w:val="en-US" w:eastAsia="zh-CN"/>
        </w:rPr>
        <w:t>率</w:t>
      </w:r>
      <w:r>
        <w:rPr>
          <w:rFonts w:hint="eastAsia" w:ascii="楷体" w:hAnsi="楷体" w:eastAsia="楷体" w:cs="楷体"/>
          <w:b w:val="0"/>
          <w:bCs w:val="0"/>
          <w:color w:val="auto"/>
          <w:szCs w:val="21"/>
          <w:highlight w:val="none"/>
          <w:u w:val="none"/>
          <w:lang w:val="en-US" w:eastAsia="zh-CN"/>
        </w:rPr>
        <w:t>：</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highlight w:val="none"/>
          <w:u w:val="none"/>
          <w:lang w:val="en-US"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2"/>
          <w:u w:val="none"/>
          <w:lang w:val="en-US" w:eastAsia="zh-CN"/>
        </w:rPr>
        <w:t>该费用</w:t>
      </w:r>
      <w:r>
        <w:rPr>
          <w:rFonts w:hint="eastAsia" w:ascii="楷体" w:hAnsi="楷体" w:eastAsia="楷体" w:cs="楷体"/>
          <w:b w:val="0"/>
          <w:bCs w:val="0"/>
          <w:color w:val="auto"/>
          <w:szCs w:val="21"/>
          <w:u w:val="none"/>
          <w:lang w:val="en-US" w:eastAsia="zh-CN"/>
        </w:rPr>
        <w:t>由投资者承担并于申购份额时一次性支付。</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示例：</w:t>
      </w:r>
      <w:r>
        <w:rPr>
          <w:rFonts w:hint="eastAsia" w:ascii="楷体" w:hAnsi="楷体" w:eastAsia="楷体" w:cs="楷体"/>
          <w:b w:val="0"/>
          <w:bCs w:val="0"/>
          <w:color w:val="auto"/>
          <w:szCs w:val="21"/>
          <w:u w:val="none"/>
          <w:lang w:eastAsia="zh-CN"/>
        </w:rPr>
        <w:t>【假定某投资者投资500元人民币申购本理财产品，申购费率为0.00%，理财产品份额净值为1.02500元人民币，则其可得到的申购份额计算如下：</w:t>
      </w:r>
      <w:r>
        <w:rPr>
          <w:rFonts w:hint="eastAsia" w:ascii="楷体" w:hAnsi="楷体" w:eastAsia="楷体" w:cs="楷体"/>
          <w:b w:val="0"/>
          <w:bCs w:val="0"/>
          <w:color w:val="auto"/>
          <w:szCs w:val="21"/>
          <w:u w:val="none"/>
          <w:lang w:eastAsia="zh-CN"/>
        </w:rPr>
        <w:br w:type="textWrapping"/>
      </w:r>
      <w:r>
        <w:rPr>
          <w:rFonts w:hint="eastAsia" w:ascii="楷体" w:hAnsi="楷体" w:eastAsia="楷体" w:cs="楷体"/>
          <w:b w:val="0"/>
          <w:bCs w:val="0"/>
          <w:color w:val="auto"/>
          <w:szCs w:val="21"/>
          <w:u w:val="none"/>
          <w:lang w:eastAsia="zh-CN"/>
        </w:rPr>
        <w:t xml:space="preserve">    申购份数＝500÷(1+0.00%)÷1.02500＝487.80份】</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（2）理财产品赎回金额的计算</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理财产品采用“份额赎回”方式，赎回价格以赎回</w:t>
      </w:r>
      <w:r>
        <w:rPr>
          <w:rFonts w:hint="eastAsia" w:ascii="楷体" w:hAnsi="楷体" w:eastAsia="楷体" w:cs="楷体"/>
          <w:b w:val="0"/>
          <w:bCs w:val="0"/>
          <w:color w:val="auto"/>
          <w:szCs w:val="21"/>
          <w:u w:val="none"/>
          <w:lang w:val="en-US" w:eastAsia="zh-CN"/>
        </w:rPr>
        <w:t>确认日前【1】个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净值为基准进行计算,计算公式如下：</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赎回资金＝总赎回份额×（1-赎回费率）×确认日</w:t>
      </w:r>
      <w:r>
        <w:rPr>
          <w:rFonts w:hint="eastAsia" w:ascii="楷体" w:hAnsi="楷体" w:eastAsia="楷体" w:cs="楷体"/>
          <w:b w:val="0"/>
          <w:bCs w:val="0"/>
          <w:color w:val="auto"/>
          <w:szCs w:val="21"/>
          <w:u w:val="none"/>
          <w:lang w:val="en-US" w:eastAsia="zh-CN"/>
        </w:rPr>
        <w:t>前【1】个</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的理财产品</w:t>
      </w:r>
      <w:r>
        <w:rPr>
          <w:rFonts w:hint="eastAsia" w:ascii="楷体" w:hAnsi="楷体" w:eastAsia="楷体" w:cs="楷体"/>
          <w:b w:val="0"/>
          <w:bCs w:val="0"/>
          <w:color w:val="auto"/>
          <w:szCs w:val="21"/>
          <w:u w:val="none"/>
          <w:lang w:val="en-US" w:eastAsia="zh-CN"/>
        </w:rPr>
        <w:t>份额</w:t>
      </w:r>
      <w:r>
        <w:rPr>
          <w:rFonts w:hint="eastAsia" w:ascii="楷体" w:hAnsi="楷体" w:eastAsia="楷体" w:cs="楷体"/>
          <w:b w:val="0"/>
          <w:bCs w:val="0"/>
          <w:color w:val="auto"/>
          <w:szCs w:val="21"/>
          <w:u w:val="none"/>
        </w:rPr>
        <w:t>净</w:t>
      </w:r>
      <w:r>
        <w:rPr>
          <w:rFonts w:hint="eastAsia" w:ascii="楷体" w:hAnsi="楷体" w:eastAsia="楷体" w:cs="楷体"/>
          <w:b w:val="0"/>
          <w:bCs w:val="0"/>
          <w:color w:val="auto"/>
          <w:szCs w:val="21"/>
          <w:u w:val="none"/>
          <w:lang w:val="en-US" w:eastAsia="zh-CN"/>
        </w:rPr>
        <w:t>值</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赎回份额保留至小数点后2位（保留2位小数，四舍五入）。</w:t>
      </w:r>
    </w:p>
    <w:p>
      <w:pPr>
        <w:spacing w:line="360" w:lineRule="auto"/>
        <w:ind w:firstLine="420" w:firstLineChars="200"/>
        <w:contextualSpacing/>
        <w:rPr>
          <w:rFonts w:hint="eastAsia" w:ascii="楷体" w:hAnsi="楷体" w:eastAsia="楷体" w:cs="楷体"/>
          <w:b w:val="0"/>
          <w:bCs w:val="0"/>
          <w:color w:val="auto"/>
          <w:szCs w:val="21"/>
          <w:highlight w:val="none"/>
          <w:u w:val="none"/>
          <w:lang w:val="en-US" w:eastAsia="zh-CN"/>
        </w:rPr>
      </w:pPr>
      <w:r>
        <w:rPr>
          <w:rFonts w:hint="eastAsia" w:ascii="楷体" w:hAnsi="楷体" w:eastAsia="楷体" w:cs="楷体"/>
          <w:b w:val="0"/>
          <w:bCs w:val="0"/>
          <w:color w:val="auto"/>
          <w:szCs w:val="21"/>
          <w:u w:val="none"/>
          <w:lang w:val="en-US" w:eastAsia="zh-CN"/>
        </w:rPr>
        <w:t>本理财产品赎回</w:t>
      </w:r>
      <w:r>
        <w:rPr>
          <w:rFonts w:hint="eastAsia" w:ascii="楷体" w:hAnsi="楷体" w:eastAsia="楷体" w:cs="楷体"/>
          <w:b w:val="0"/>
          <w:bCs w:val="0"/>
          <w:color w:val="auto"/>
          <w:szCs w:val="21"/>
          <w:u w:val="none"/>
        </w:rPr>
        <w:t>费</w:t>
      </w:r>
      <w:r>
        <w:rPr>
          <w:rFonts w:hint="eastAsia" w:ascii="楷体" w:hAnsi="楷体" w:eastAsia="楷体" w:cs="楷体"/>
          <w:b w:val="0"/>
          <w:bCs w:val="0"/>
          <w:color w:val="auto"/>
          <w:szCs w:val="21"/>
          <w:u w:val="none"/>
          <w:lang w:val="en-US" w:eastAsia="zh-CN"/>
        </w:rPr>
        <w:t>率</w:t>
      </w:r>
      <w:r>
        <w:rPr>
          <w:rFonts w:hint="eastAsia" w:ascii="楷体" w:hAnsi="楷体" w:eastAsia="楷体" w:cs="楷体"/>
          <w:b w:val="0"/>
          <w:bCs w:val="0"/>
          <w:color w:val="auto"/>
          <w:szCs w:val="21"/>
          <w:highlight w:val="none"/>
          <w:u w:val="none"/>
          <w:lang w:val="en-US" w:eastAsia="zh-CN"/>
        </w:rPr>
        <w:t>：</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highlight w:val="none"/>
          <w:u w:val="none"/>
          <w:lang w:val="en-US" w:eastAsia="zh-CN"/>
        </w:rPr>
        <w:t>。</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2"/>
          <w:u w:val="none"/>
          <w:lang w:val="en-US" w:eastAsia="zh-CN"/>
        </w:rPr>
        <w:t>该费用</w:t>
      </w:r>
      <w:r>
        <w:rPr>
          <w:rFonts w:hint="eastAsia" w:ascii="楷体" w:hAnsi="楷体" w:eastAsia="楷体" w:cs="楷体"/>
          <w:b w:val="0"/>
          <w:bCs w:val="0"/>
          <w:color w:val="auto"/>
          <w:szCs w:val="21"/>
          <w:u w:val="none"/>
          <w:lang w:val="en-US" w:eastAsia="zh-CN"/>
        </w:rPr>
        <w:t>由投资者承担并于赎回份额时一次性支付。</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示例：</w:t>
      </w:r>
      <w:r>
        <w:rPr>
          <w:rFonts w:hint="eastAsia" w:ascii="楷体" w:hAnsi="楷体" w:eastAsia="楷体" w:cs="楷体"/>
          <w:b w:val="0"/>
          <w:bCs w:val="0"/>
          <w:color w:val="auto"/>
          <w:szCs w:val="21"/>
          <w:u w:val="none"/>
          <w:lang w:eastAsia="zh-CN"/>
        </w:rPr>
        <w:t>【假定某投资者在赎回开放日赎回100份理财产品份额，赎回费率为0.00%，理财产品份额净值为1.05300元人民币时赎回。</w:t>
      </w:r>
      <w:r>
        <w:rPr>
          <w:rFonts w:hint="eastAsia" w:ascii="楷体" w:hAnsi="楷体" w:eastAsia="楷体" w:cs="楷体"/>
          <w:b w:val="0"/>
          <w:bCs w:val="0"/>
          <w:color w:val="auto"/>
          <w:szCs w:val="21"/>
          <w:u w:val="none"/>
          <w:lang w:eastAsia="zh-CN"/>
        </w:rPr>
        <w:br w:type="textWrapping"/>
      </w:r>
      <w:r>
        <w:rPr>
          <w:rFonts w:hint="eastAsia" w:ascii="楷体" w:hAnsi="楷体" w:eastAsia="楷体" w:cs="楷体"/>
          <w:b w:val="0"/>
          <w:bCs w:val="0"/>
          <w:color w:val="auto"/>
          <w:szCs w:val="21"/>
          <w:u w:val="none"/>
          <w:lang w:eastAsia="zh-CN"/>
        </w:rPr>
        <w:t xml:space="preserve">    投资者应得赎回资金＝100×（1-0.00%）×1.05300＝105.30元人民币】</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（三）产品的其他交易规则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1</w:t>
      </w:r>
      <w:r>
        <w:rPr>
          <w:rFonts w:hint="eastAsia" w:ascii="楷体" w:hAnsi="楷体" w:eastAsia="楷体" w:cs="楷体"/>
          <w:b w:val="0"/>
          <w:bCs w:val="0"/>
          <w:szCs w:val="21"/>
          <w:u w:val="none"/>
        </w:rPr>
        <w:t>.非交易过户：因司法执行、继承和赠予等活动产生的相关理财产品份额的过户为非交易过户，进行非交易过户的转出方和转入方都须在销售机构开设有本理财业务的授权指定账户，并须向管理人出示相关的法律文件正本及相关复印件。</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.份额冻结：管理人、销售机构可协助司法机关等因执行公务需要冻结客户的理财份额。</w:t>
      </w:r>
    </w:p>
    <w:p>
      <w:pPr>
        <w:spacing w:before="120" w:after="120"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rPr>
        <w:t>.强制赎回：管理人、销售机构可协助司法机关等因执行公务需要，凭有关执行文件强制将客户本产品理财份额赎回，赎回的金额将划入该客户原授权指定账户。</w:t>
      </w:r>
    </w:p>
    <w:p>
      <w:pPr>
        <w:pStyle w:val="2"/>
        <w:spacing w:before="120" w:after="120" w:line="240" w:lineRule="auto"/>
        <w:rPr>
          <w:rFonts w:hint="eastAsia" w:ascii="楷体" w:hAnsi="楷体" w:eastAsia="楷体" w:cs="楷体"/>
          <w:sz w:val="28"/>
          <w:szCs w:val="28"/>
          <w:highlight w:val="none"/>
        </w:rPr>
      </w:pPr>
      <w:r>
        <w:rPr>
          <w:rFonts w:hint="eastAsia" w:ascii="楷体" w:hAnsi="楷体" w:eastAsia="楷体"/>
          <w:sz w:val="28"/>
          <w:szCs w:val="28"/>
          <w:highlight w:val="none"/>
          <w:lang w:val="en-US" w:eastAsia="zh-CN"/>
        </w:rPr>
        <w:t>六</w:t>
      </w:r>
      <w:r>
        <w:rPr>
          <w:rFonts w:ascii="楷体" w:hAnsi="楷体" w:eastAsia="楷体"/>
          <w:sz w:val="28"/>
          <w:szCs w:val="28"/>
          <w:highlight w:val="none"/>
        </w:rPr>
        <w:t>、</w:t>
      </w:r>
      <w:r>
        <w:rPr>
          <w:rFonts w:hint="eastAsia" w:ascii="楷体" w:hAnsi="楷体" w:eastAsia="楷体" w:cs="楷体"/>
          <w:sz w:val="28"/>
          <w:szCs w:val="28"/>
          <w:highlight w:val="none"/>
        </w:rPr>
        <w:t>理财产品估值</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u w:val="none"/>
          <w:lang w:eastAsia="zh-CN"/>
        </w:rPr>
        <w:t>【本理财产品存续期间，每个交易日、理财产品收益分配基准日以及理财产品终止日为估值日】</w:t>
      </w:r>
      <w:r>
        <w:rPr>
          <w:rFonts w:hint="eastAsia" w:ascii="楷体" w:hAnsi="楷体" w:eastAsia="楷体" w:cs="楷体"/>
          <w:b w:val="0"/>
          <w:bCs w:val="0"/>
          <w:szCs w:val="21"/>
          <w:highlight w:val="none"/>
          <w:u w:val="none"/>
        </w:rPr>
        <w:t>。</w:t>
      </w:r>
      <w:r>
        <w:rPr>
          <w:rFonts w:hint="eastAsia" w:ascii="楷体" w:hAnsi="楷体" w:eastAsia="楷体" w:cs="楷体"/>
          <w:b w:val="0"/>
          <w:bCs w:val="0"/>
          <w:color w:val="auto"/>
          <w:u w:val="none"/>
        </w:rPr>
        <w:t>管理人在估值日扣除理财产品承担的各项费用、税费（如有）后，计算理财产品</w:t>
      </w:r>
      <w:r>
        <w:rPr>
          <w:rFonts w:hint="eastAsia" w:ascii="楷体" w:hAnsi="楷体" w:eastAsia="楷体" w:cs="楷体"/>
          <w:b w:val="0"/>
          <w:bCs w:val="0"/>
          <w:color w:val="auto"/>
          <w:u w:val="none"/>
          <w:lang w:val="en-US" w:eastAsia="zh-CN"/>
        </w:rPr>
        <w:t>份额</w:t>
      </w:r>
      <w:r>
        <w:rPr>
          <w:rFonts w:hint="eastAsia" w:ascii="楷体" w:hAnsi="楷体" w:eastAsia="楷体" w:cs="楷体"/>
          <w:b w:val="0"/>
          <w:bCs w:val="0"/>
          <w:color w:val="auto"/>
          <w:u w:val="none"/>
        </w:rPr>
        <w:t>净值</w:t>
      </w:r>
      <w:r>
        <w:rPr>
          <w:rFonts w:hint="eastAsia" w:ascii="楷体" w:hAnsi="楷体" w:eastAsia="楷体" w:cs="楷体"/>
          <w:b w:val="0"/>
          <w:bCs w:val="0"/>
          <w:color w:val="auto"/>
          <w:u w:val="none"/>
          <w:lang w:val="en-US" w:eastAsia="zh-CN"/>
        </w:rPr>
        <w:t>和</w:t>
      </w:r>
      <w:r>
        <w:rPr>
          <w:rFonts w:hint="eastAsia" w:ascii="楷体" w:hAnsi="楷体" w:eastAsia="楷体" w:cs="楷体"/>
          <w:b w:val="0"/>
          <w:bCs w:val="0"/>
          <w:color w:val="auto"/>
          <w:szCs w:val="21"/>
          <w:u w:val="none"/>
          <w:lang w:val="en-US" w:eastAsia="zh-CN"/>
        </w:rPr>
        <w:t>理财产品份额累计净值</w:t>
      </w:r>
      <w:r>
        <w:rPr>
          <w:rFonts w:hint="eastAsia" w:ascii="楷体" w:hAnsi="楷体" w:eastAsia="楷体" w:cs="楷体"/>
          <w:b w:val="0"/>
          <w:bCs w:val="0"/>
          <w:color w:val="auto"/>
          <w:u w:val="none"/>
        </w:rPr>
        <w:t>，并于估值日后</w:t>
      </w:r>
      <w:r>
        <w:rPr>
          <w:rFonts w:hint="eastAsia" w:ascii="楷体" w:hAnsi="楷体" w:eastAsia="楷体" w:cs="楷体"/>
          <w:b w:val="0"/>
          <w:bCs w:val="0"/>
          <w:color w:val="auto"/>
          <w:highlight w:val="none"/>
          <w:u w:val="none"/>
          <w:lang w:val="en-US" w:eastAsia="zh-CN"/>
        </w:rPr>
        <w:t>2个工作日</w:t>
      </w:r>
      <w:r>
        <w:rPr>
          <w:rFonts w:hint="eastAsia" w:ascii="楷体" w:hAnsi="楷体" w:eastAsia="楷体" w:cs="楷体"/>
          <w:b w:val="0"/>
          <w:bCs w:val="0"/>
          <w:color w:val="auto"/>
          <w:u w:val="none"/>
        </w:rPr>
        <w:t>内通过“信息披露”约定的渠道发布。</w:t>
      </w:r>
      <w:r>
        <w:rPr>
          <w:rFonts w:hint="eastAsia" w:ascii="楷体" w:hAnsi="楷体" w:eastAsia="楷体" w:cs="楷体"/>
          <w:b w:val="0"/>
          <w:bCs w:val="0"/>
          <w:szCs w:val="21"/>
          <w:highlight w:val="none"/>
          <w:u w:val="none"/>
        </w:rPr>
        <w:t>管理人有权对以上</w:t>
      </w:r>
      <w:r>
        <w:rPr>
          <w:rFonts w:hint="eastAsia" w:ascii="楷体" w:hAnsi="楷体" w:eastAsia="楷体" w:cs="楷体"/>
          <w:b w:val="0"/>
          <w:bCs w:val="0"/>
          <w:szCs w:val="21"/>
          <w:highlight w:val="none"/>
          <w:u w:val="none"/>
          <w:lang w:eastAsia="zh-CN"/>
        </w:rPr>
        <w:t>产品估值规则</w:t>
      </w:r>
      <w:r>
        <w:rPr>
          <w:rFonts w:hint="eastAsia" w:ascii="楷体" w:hAnsi="楷体" w:eastAsia="楷体" w:cs="楷体"/>
          <w:b w:val="0"/>
          <w:bCs w:val="0"/>
          <w:szCs w:val="21"/>
          <w:highlight w:val="none"/>
          <w:u w:val="none"/>
        </w:rPr>
        <w:t>进行修改，并通过</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lang w:val="en-US" w:eastAsia="zh-CN"/>
        </w:rPr>
        <w:t>产品说明书</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rPr>
        <w:t>“信息披露”约定的方式进行披露。</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szCs w:val="21"/>
          <w:highlight w:val="none"/>
          <w:u w:val="none"/>
        </w:rPr>
        <w:t>理财产品某一类份额的</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净值指1份理财产品份额以人民币计价的价格。</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szCs w:val="21"/>
          <w:highlight w:val="none"/>
          <w:u w:val="none"/>
        </w:rPr>
        <w:t>理财产品某一类份额的</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净值＝理财产品该类份额</w:t>
      </w:r>
      <w:r>
        <w:rPr>
          <w:rFonts w:hint="eastAsia" w:ascii="楷体" w:hAnsi="楷体" w:eastAsia="楷体" w:cs="楷体"/>
          <w:b w:val="0"/>
          <w:bCs w:val="0"/>
          <w:szCs w:val="21"/>
          <w:highlight w:val="none"/>
          <w:u w:val="none"/>
          <w:lang w:val="en-US" w:eastAsia="zh-CN"/>
        </w:rPr>
        <w:t>资产净值</w:t>
      </w:r>
      <w:r>
        <w:rPr>
          <w:rFonts w:hint="eastAsia" w:ascii="楷体" w:hAnsi="楷体" w:eastAsia="楷体" w:cs="楷体"/>
          <w:b w:val="0"/>
          <w:bCs w:val="0"/>
          <w:szCs w:val="21"/>
          <w:highlight w:val="none"/>
          <w:u w:val="none"/>
        </w:rPr>
        <w:t>÷理财产品该类份额总份额</w:t>
      </w:r>
    </w:p>
    <w:p>
      <w:pPr>
        <w:spacing w:line="360" w:lineRule="auto"/>
        <w:ind w:firstLine="422" w:firstLineChars="200"/>
        <w:contextualSpacing/>
        <w:outlineLvl w:val="1"/>
        <w:rPr>
          <w:rFonts w:hint="eastAsia" w:ascii="楷体" w:hAnsi="楷体" w:eastAsia="楷体" w:cs="楷体"/>
          <w:b/>
          <w:bCs/>
          <w:szCs w:val="21"/>
          <w:u w:val="none"/>
        </w:rPr>
      </w:pPr>
      <w:r>
        <w:rPr>
          <w:rFonts w:hint="eastAsia" w:ascii="楷体" w:hAnsi="楷体" w:eastAsia="楷体" w:cs="楷体"/>
          <w:b/>
          <w:bCs/>
          <w:szCs w:val="21"/>
          <w:u w:val="none"/>
          <w:lang w:val="en-US" w:eastAsia="zh-CN"/>
        </w:rPr>
        <w:t>（一）估值原则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1.适配性原则：金融资产的估值方法与理财产品的类型相匹配。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2.审慎性原则：审慎确认和计量金融资产的公允价值，不高估公允价值收益，不低估</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contextualSpacing/>
        <w:textAlignment w:val="auto"/>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公允价值损失。</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3.充分性原则：估值过程中充分考虑金融资产的性质、重要性级及复杂程度等因素。</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4.清晰性原则：估值方法应清晰明了，便于理解和应用，能清晰反应金融资产的性质。</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二</w:t>
      </w:r>
      <w:r>
        <w:rPr>
          <w:rFonts w:hint="eastAsia" w:ascii="楷体" w:hAnsi="楷体" w:eastAsia="楷体" w:cs="楷体"/>
          <w:sz w:val="21"/>
          <w:u w:val="none"/>
        </w:rPr>
        <w:t>）估值方法</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直接持有在证券交易所上市的股票，以其估值日在证券交易所挂牌的市价（收盘价）估值；估值日无交易的，最近交易日后经济环境未发生重大变化且证券发行机构未发生影响证券价格的重大事件的，以最近交易日的市价（收盘价）估值；最近交易日后经济环境发生了重大变化或证券发行机构发生影响证券价格的重大事件的，参考类似投资品种的现行市价及重大变化因素调整最近交易市价；对于长期停牌股票，按行业通行的估值方法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理财产品直接持有的在证券交易所和全国银行间市场交易的债券，按第三方估值机构（中债、中证等）提供的估值数据，对本组合持有的债券进行估值，具体第三方估值机构由管理人和托管行具体协商确定。如监管另有规定的，按照监管的最新规定进行调整。如本组合持有的债券在本产品存续期内，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3.未上市期间的有价证券（如有）应区分如下情况处理：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（1）送股、转增股、配股和公开增发新股，按估值日在证券交易所挂牌的同一股票的市价（收盘价）估值；该日无交易的，以最近交易日市价（收盘价）估值；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（2）首次公开发行未上市或未挂牌转让的股票、债券，采用估值技术确定公允价值，在估值技术难以可靠计量公允价值的情况下，按成本估值；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4.交易所上市未实行净价交易的债券按估值日收盘全价或第三方估值机构提供的相应品种当日的估值全价减去收盘价或估值全价中所含的债券应收利息得到的净价进行估值。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5.可转换私募债券（如有）和可交换私募债券（如有）未转股前按照公允价值估值。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6.投资于信托计划、资产管理计划等的资产：</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（1）按合同约定的估值方案，以信托计划的受托人、资产管理计划的管理人等和资产托管人共同确认的最新估值数据对本组合持有的资管计划进行估值；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（2）非标准化债权资产通常不存在活跃报价的交易市场，通过估值技术确定其公允价值。如监管另有规定的，按照监管的最新规定进行调整。</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7.债券回购和拆借按买入成本列示，按照票面利率或者商定利率每日计提收益。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8.投资证券投资基金的估值方法：</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（1）对于交易所上市的ETF基金、定期开放式基金、封闭式基金，按其所在证券交易所的收盘价估值；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（2）对于交易所上市的开放式基金（LOF），按所投资基金的基金管理人披露且可取得的最新净值（如无当日则为上一交易日）进行估值；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对于交易所上市交易型货币市场基金，如基金管理人披露单位净值，则按所投资基金的基金管理人披露的估值日单位净值进行估值；如基金管理人披露万份（百份）收益，则按所投资基金前一估值日后至估值日期间（含节假日）的万份（百份）收益计提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（4）对于未在交易所上市的场外基金，按可取得的最新净值（如无当日则为上一交易日）的基金单位净值估值；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（5）对于未在交易所上市的货币市场基金，按基金管理公司披露的可取得的最新净值（如无当日则为上一交易日）每万份收益计提收益；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如遇所投资基金不公布基金单位净值、进行折算或拆分、估值日无交易等特殊情况，应根据以下原则进行估值：以所投资基金的基金单位净值估值的，若所投资基金与理财产品估值频率一致但未公布估值日基金单位净值，以其最近公布的基金单位净值为基础估值。以所投资基金的收盘价估值的，若估值日无交易，且最近交易日后市场环境未发生重大变化，以最近交易日的收盘价估值；如最近交易日后市场环境发生了重大变化的，可使用最新的基金单位净值为基础或参考类似投资品种的现行市价及重大变化因素调整最近交易市价，确定公允价值。如果所投资基金前一估值日至估值日期间发生分红除权、折算或拆分，应根据基金单位净值或收盘价、单位基金份额分红金额、折算拆分比例、持仓份额等因素合理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9.在证券交易所及全国中小企业股份转让系统等市场交易的优先股，其交易量及交易频率足以持续提供价格的，估值日有交易，可按估值日收盘价估值；估值日无交易，且最近交易日后市场环境未发生重大变化，可参考类似投资品种的现行市价及重大变化因素调整最近交易市价，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不满足上述条件的，可根据优先股的股息支付条款，采用现金流折现模型等估值模型，或第三方估值机构提供的价格数据估值,当上述价格难以获取且认为成本能够近似体现公允价值，可采用成本法估值。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10.衍生金融工具估值：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（2）对于非交易所交易的衍生金融工具，可依据第三方机构提供的价格数据或采取相应衍生金融工具估值模型确定公允价值。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1</w:t>
      </w:r>
      <w:r>
        <w:rPr>
          <w:rFonts w:hint="eastAsia" w:ascii="楷体" w:hAnsi="楷体" w:eastAsia="楷体" w:cs="楷体"/>
          <w:b w:val="0"/>
          <w:bCs w:val="0"/>
          <w:szCs w:val="21"/>
          <w:u w:val="none"/>
        </w:rPr>
        <w:t>.若理财产品存续期间持有其他投资品种，以理财产品管理人和理财产品托管人共同认可的方法估值。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在任何情况下，如采用以上规定的方法对资产进行估值，均应被认为采用了适当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rPr>
        <w:t>.对于以上估值方法，相关法律法规以及监管部门有另行规定的，按照监管最新规定执行。如监管并无明确规定和要求的，由产品管理人与托管人协商确定计算方法。</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4</w:t>
      </w:r>
      <w:r>
        <w:rPr>
          <w:rFonts w:hint="eastAsia" w:ascii="楷体" w:hAnsi="楷体" w:eastAsia="楷体" w:cs="楷体"/>
          <w:b w:val="0"/>
          <w:bCs w:val="0"/>
          <w:szCs w:val="21"/>
          <w:u w:val="none"/>
        </w:rPr>
        <w:t>.按以上估值方法进行估值时，所造成的误差不作为理财产品单位资产净值错误处理。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u w:val="none"/>
          <w:lang w:val="en-US" w:eastAsia="zh-CN"/>
        </w:rPr>
        <w:t>5</w:t>
      </w:r>
      <w:r>
        <w:rPr>
          <w:rFonts w:hint="eastAsia" w:ascii="楷体" w:hAnsi="楷体" w:eastAsia="楷体" w:cs="楷体"/>
          <w:b w:val="0"/>
          <w:bCs w:val="0"/>
          <w:szCs w:val="21"/>
          <w:u w:val="none"/>
        </w:rPr>
        <w:t>.扣除项：应由理财产品承担的固定投资管理费用、托管费、销售管理费和税款（如有）。</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三</w:t>
      </w:r>
      <w:r>
        <w:rPr>
          <w:rFonts w:hint="eastAsia" w:ascii="楷体" w:hAnsi="楷体" w:eastAsia="楷体" w:cs="楷体"/>
          <w:sz w:val="21"/>
          <w:u w:val="none"/>
        </w:rPr>
        <w:t>）暂停估值的情形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1.因不可抗力或其他情形致使理财产品管理人、理财产品托管人无法准确评估资产价值时；</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理财产品投资的信托计划/资管计划合同约定暂停估值或无法估值的情形发生，导致理财产品无法估值的；其中，产品资产净值50%以上的资产不具备活跃交易市场或者在活跃市场中无报价，且不能采用估值技术可靠计量公允价值的，管理人应当暂停产品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3.占理财产品相当比例的投资品种的估值出现重大转变，而管理人为保障投资者的利益，已决定延迟估值；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4.投资管理人、理财产品托管人有合理理由认为将影响本理财产品估值的其他情形发生。</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四</w:t>
      </w:r>
      <w:r>
        <w:rPr>
          <w:rFonts w:hint="eastAsia" w:ascii="楷体" w:hAnsi="楷体" w:eastAsia="楷体" w:cs="楷体"/>
          <w:sz w:val="21"/>
          <w:u w:val="none"/>
        </w:rPr>
        <w:t>）估值错误的处理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理财产品管理人和理财产品托管人将采取必要、适当、合理的措施确保理财产品估值的准确性、及时性。</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rPr>
        <w:t>1.估值错误处理原则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（1）由于理财产品管理人或理财产品托管人自身的过错造成估值错误，导致投资者遭受损失的，由估值错误责任方按照各自过错程度对该估值错误导致投资者遭受的直接损失给予赔偿，承担赔偿责任。</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对于因技术原因引起的差错，若系同行业现有技术水平无法预见、无法避免、无法抗拒，属不可抗力。因不可抗力原因出现差错的当事人不对投资者承担赔偿责任，但因该差错取得不当得利的投资者仍应负有返还不当得利的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因理财产品托管人估值错误造成财产损失时，理财产品管理人应向托管人追偿。若理财产品管理人和理财产品托管人之外的第三方估值差错造成财产的损失，并拒绝进行赔偿时，理财产品由理财产品管理人负责向差错方追偿；追偿过程中产生的有关费用，应列入理财产品费用，由理财产品承担。</w:t>
      </w:r>
    </w:p>
    <w:p>
      <w:pPr>
        <w:spacing w:line="360" w:lineRule="auto"/>
        <w:ind w:firstLine="422" w:firstLineChars="200"/>
        <w:contextualSpacing/>
        <w:rPr>
          <w:rFonts w:hint="eastAsia" w:ascii="楷体" w:hAnsi="楷体" w:eastAsia="楷体" w:cs="楷体"/>
          <w:b/>
          <w:bCs/>
          <w:szCs w:val="21"/>
          <w:u w:val="none"/>
        </w:rPr>
      </w:pPr>
      <w:r>
        <w:rPr>
          <w:rFonts w:hint="eastAsia" w:ascii="楷体" w:hAnsi="楷体" w:eastAsia="楷体" w:cs="楷体"/>
          <w:b/>
          <w:bCs/>
          <w:szCs w:val="21"/>
          <w:u w:val="none"/>
        </w:rPr>
        <w:t>（4）当估值出现错误时，因估值错误而获得不当得利的投资者负有及时返还不当得利的义务。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（5）按法律法规规定的其他原则处理估值错误。</w:t>
      </w:r>
    </w:p>
    <w:p>
      <w:pPr>
        <w:spacing w:line="360" w:lineRule="auto"/>
        <w:ind w:firstLine="420" w:firstLineChars="200"/>
        <w:contextualSpacing/>
        <w:outlineLvl w:val="2"/>
        <w:rPr>
          <w:rFonts w:hint="eastAsia" w:ascii="楷体" w:hAnsi="楷体" w:eastAsia="楷体" w:cs="楷体"/>
          <w:b w:val="0"/>
          <w:bCs w:val="0"/>
          <w:szCs w:val="21"/>
          <w:u w:val="none"/>
        </w:rPr>
      </w:pPr>
      <w:r>
        <w:rPr>
          <w:rFonts w:hint="eastAsia" w:ascii="楷体" w:hAnsi="楷体" w:eastAsia="楷体" w:cs="楷体"/>
          <w:b w:val="0"/>
          <w:bCs w:val="0"/>
          <w:szCs w:val="21"/>
          <w:u w:val="none"/>
        </w:rPr>
        <w:t>2.估值错误处理程序</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估值错误被发现后，理财产品管理人和理财产品托管人应当及时进行处理，处理的程序如下：</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（1）查明估值错误发生的原因，列明所有的管理人和托管人并根据估值错误发生的原因确定估值错误的责任方；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（2）根据估值错误处理原则对因估值错误造成的损失进行评估；</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（3）根据理财产品管理人和理财产品托管人协商的方法，由理财产品管理人和理财产品托管人共同进行更正，由估值错误的责任方进行赔偿损失。</w:t>
      </w:r>
    </w:p>
    <w:p>
      <w:pPr>
        <w:pStyle w:val="3"/>
        <w:spacing w:before="0" w:after="0" w:line="360" w:lineRule="auto"/>
        <w:ind w:firstLine="422" w:firstLineChars="200"/>
        <w:rPr>
          <w:rFonts w:hint="eastAsia" w:ascii="楷体" w:hAnsi="楷体" w:eastAsia="楷体" w:cs="楷体"/>
          <w:sz w:val="21"/>
          <w:u w:val="none"/>
        </w:rPr>
      </w:pPr>
      <w:r>
        <w:rPr>
          <w:rFonts w:hint="eastAsia" w:ascii="楷体" w:hAnsi="楷体" w:eastAsia="楷体" w:cs="楷体"/>
          <w:sz w:val="21"/>
          <w:u w:val="none"/>
        </w:rPr>
        <w:t>（</w:t>
      </w:r>
      <w:r>
        <w:rPr>
          <w:rFonts w:hint="eastAsia" w:ascii="楷体" w:hAnsi="楷体" w:eastAsia="楷体" w:cs="楷体"/>
          <w:sz w:val="21"/>
          <w:u w:val="none"/>
          <w:lang w:val="en-US" w:eastAsia="zh-CN"/>
        </w:rPr>
        <w:t>五</w:t>
      </w:r>
      <w:r>
        <w:rPr>
          <w:rFonts w:hint="eastAsia" w:ascii="楷体" w:hAnsi="楷体" w:eastAsia="楷体" w:cs="楷体"/>
          <w:sz w:val="21"/>
          <w:u w:val="none"/>
        </w:rPr>
        <w:t>）特殊情况的处理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1.理财产品投资管理人、理财产品托管人按本说明书估值方法进行估值时，所造成的误差不作为估值错误处理。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由于不可抗力原因，或由于证券交易所、期货交易所、第三方估值机构、信托公司、基金公司等发送数据错误等非理财产品管理人和理财产品托管人原因，理财产品管理人和托管人虽然已经采取必要、适当、合理的措施进行检查，但未能发现错误的，由此造成的估值错误，理财产品管理人和理财产品托管人免除赔偿责任。但理财产品管理人、理财产品托管人应当积极采取必要的措施减轻或消除由此造成的影响。</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前述内容如法律法规、监管机关另有规定的，或有关会计准则发生变化等，按照国家最新规定或理财产品管理人最新约定估值。如果行业另有通行做法，理财产品管理人和理财产品托管人本着平等和保护份额持有人利益的原则进行协商。</w:t>
      </w:r>
    </w:p>
    <w:p>
      <w:pPr>
        <w:pStyle w:val="2"/>
        <w:spacing w:before="120" w:after="120" w:line="240" w:lineRule="auto"/>
        <w:rPr>
          <w:rFonts w:hint="eastAsia" w:ascii="楷体" w:hAnsi="楷体" w:eastAsia="楷体" w:cs="楷体"/>
          <w:sz w:val="28"/>
          <w:szCs w:val="28"/>
          <w:u w:val="none"/>
        </w:rPr>
      </w:pPr>
      <w:bookmarkStart w:id="13" w:name="_Toc98680963"/>
      <w:r>
        <w:rPr>
          <w:rFonts w:hint="eastAsia" w:ascii="楷体" w:hAnsi="楷体" w:eastAsia="楷体"/>
          <w:sz w:val="28"/>
          <w:szCs w:val="28"/>
          <w:u w:val="none"/>
        </w:rPr>
        <w:t>七</w:t>
      </w:r>
      <w:r>
        <w:rPr>
          <w:rFonts w:ascii="楷体" w:hAnsi="楷体" w:eastAsia="楷体"/>
          <w:sz w:val="28"/>
          <w:szCs w:val="28"/>
          <w:u w:val="none"/>
        </w:rPr>
        <w:t>、</w:t>
      </w:r>
      <w:r>
        <w:rPr>
          <w:rFonts w:hint="eastAsia" w:ascii="楷体" w:hAnsi="楷体" w:eastAsia="楷体" w:cs="楷体"/>
          <w:sz w:val="28"/>
          <w:szCs w:val="28"/>
          <w:u w:val="none"/>
        </w:rPr>
        <w:t>产品管理人、托管人</w:t>
      </w:r>
      <w:r>
        <w:rPr>
          <w:rFonts w:hint="eastAsia" w:ascii="楷体" w:hAnsi="楷体" w:eastAsia="楷体" w:cs="楷体"/>
          <w:sz w:val="28"/>
          <w:szCs w:val="28"/>
          <w:u w:val="none"/>
          <w:lang w:eastAsia="zh-CN"/>
        </w:rPr>
        <w:t>、</w:t>
      </w:r>
      <w:r>
        <w:rPr>
          <w:rFonts w:hint="eastAsia" w:ascii="楷体" w:hAnsi="楷体" w:eastAsia="楷体" w:cs="楷体"/>
          <w:sz w:val="28"/>
          <w:szCs w:val="28"/>
          <w:u w:val="none"/>
        </w:rPr>
        <w:t>销售机构</w:t>
      </w:r>
      <w:bookmarkEnd w:id="13"/>
      <w:r>
        <w:rPr>
          <w:rFonts w:hint="eastAsia" w:ascii="楷体" w:hAnsi="楷体" w:eastAsia="楷体" w:cs="楷体"/>
          <w:sz w:val="28"/>
          <w:szCs w:val="28"/>
          <w:lang w:val="en-US" w:eastAsia="zh-CN"/>
        </w:rPr>
        <w:t>和投资合作机构</w:t>
      </w:r>
    </w:p>
    <w:p>
      <w:pPr>
        <w:pStyle w:val="3"/>
        <w:spacing w:before="0" w:after="0" w:line="360" w:lineRule="auto"/>
        <w:ind w:firstLine="422" w:firstLineChars="200"/>
        <w:rPr>
          <w:rFonts w:hint="eastAsia" w:ascii="楷体" w:hAnsi="楷体" w:eastAsia="楷体" w:cs="楷体"/>
          <w:u w:val="none"/>
        </w:rPr>
      </w:pPr>
      <w:bookmarkStart w:id="14" w:name="_Toc98680964"/>
      <w:r>
        <w:rPr>
          <w:rFonts w:hint="eastAsia" w:ascii="楷体" w:hAnsi="楷体" w:eastAsia="楷体" w:cs="楷体"/>
          <w:sz w:val="21"/>
          <w:u w:val="none"/>
        </w:rPr>
        <w:t>（一）产品管理人</w:t>
      </w:r>
      <w:bookmarkEnd w:id="14"/>
    </w:p>
    <w:p>
      <w:pPr>
        <w:snapToGrid w:val="0"/>
        <w:spacing w:line="360" w:lineRule="auto"/>
        <w:ind w:firstLine="420" w:firstLineChars="200"/>
        <w:rPr>
          <w:rFonts w:hint="eastAsia" w:ascii="楷体" w:hAnsi="楷体" w:eastAsia="楷体" w:cs="楷体"/>
          <w:b w:val="0"/>
          <w:bCs w:val="0"/>
          <w:szCs w:val="21"/>
          <w:u w:val="none"/>
        </w:rPr>
      </w:pPr>
      <w:r>
        <w:rPr>
          <w:rFonts w:hint="eastAsia" w:ascii="楷体" w:hAnsi="楷体" w:eastAsia="楷体" w:cs="楷体"/>
          <w:b w:val="0"/>
          <w:bCs w:val="0"/>
          <w:szCs w:val="21"/>
          <w:u w:val="none"/>
        </w:rPr>
        <w:t>本理财产品的产品管理人为上银理财有限责任公司。</w:t>
      </w:r>
    </w:p>
    <w:p>
      <w:pPr>
        <w:snapToGrid w:val="0"/>
        <w:spacing w:line="360" w:lineRule="auto"/>
        <w:ind w:firstLine="420" w:firstLineChars="200"/>
        <w:rPr>
          <w:rFonts w:hint="eastAsia" w:ascii="楷体" w:hAnsi="楷体" w:eastAsia="楷体" w:cs="楷体"/>
          <w:b w:val="0"/>
          <w:bCs w:val="0"/>
          <w:szCs w:val="21"/>
          <w:u w:val="none"/>
        </w:rPr>
      </w:pPr>
      <w:r>
        <w:rPr>
          <w:rFonts w:hint="eastAsia" w:ascii="楷体" w:hAnsi="楷体" w:eastAsia="楷体" w:cs="楷体"/>
          <w:b w:val="0"/>
          <w:bCs w:val="0"/>
          <w:szCs w:val="21"/>
          <w:u w:val="none"/>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机构名称</w:t>
            </w:r>
          </w:p>
        </w:tc>
        <w:tc>
          <w:tcPr>
            <w:tcW w:w="5382"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上银理财有限责任公司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地址</w:t>
            </w:r>
          </w:p>
        </w:tc>
        <w:tc>
          <w:tcPr>
            <w:tcW w:w="5382"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上海市黄浦区中山南路666弄2幢2号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主要职责</w:t>
            </w:r>
          </w:p>
        </w:tc>
        <w:tc>
          <w:tcPr>
            <w:tcW w:w="5382"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上银理财有限责任公司负责本理财产品的投资运作和产品管理。</w:t>
            </w:r>
          </w:p>
        </w:tc>
      </w:tr>
    </w:tbl>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投资者在此授权并同意上银理财享有以下权利：</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1.按照本理财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的约定，管理、运用和处分理财产品资金；</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2.按照本理财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的约定，及时、足额获得固定投资管理费和本《产品说明书》约定的其他费用（如有）；</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3.管理人以其固有财产先行垫付因处理本理财产品相关事务所支出的理财产品费用及税费的，对理财产品资金享有优先受偿的权利；</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4.管理人有权根据本理财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的约定提前终止或延长本理财产品的期限；</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5.管理人有权单方调整本理财产品的</w:t>
      </w:r>
      <w:r>
        <w:rPr>
          <w:rFonts w:hint="eastAsia" w:ascii="楷体" w:hAnsi="楷体" w:eastAsia="楷体" w:cs="楷体"/>
          <w:b w:val="0"/>
          <w:bCs w:val="0"/>
          <w:szCs w:val="21"/>
          <w:u w:val="none"/>
          <w:lang w:val="en-US" w:eastAsia="zh-CN"/>
        </w:rPr>
        <w:t>销售起点金额及递增金额、投资者认购、申购和赎回的数量限制、投资者持有本产品的最高限额、最低限额、产品规模上限、业绩比较基准、费率</w:t>
      </w:r>
      <w:r>
        <w:rPr>
          <w:rFonts w:hint="eastAsia" w:ascii="楷体" w:hAnsi="楷体" w:eastAsia="楷体" w:cs="楷体"/>
          <w:b w:val="0"/>
          <w:bCs w:val="0"/>
          <w:szCs w:val="21"/>
          <w:u w:val="none"/>
        </w:rPr>
        <w:t>等要素；</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6.管理人有权按照法律规定和监管机构的要求将投资者的信息向有权部门或相关机构披露；</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7.以理财产品投资管理人的名义，依照法律法规相关规定以及为理财产品的利益，对被投资的信托计划、资管计划、各类基金（含公募基金和私募基金）、公司/企业等行使出资人/投资者权利（包括但不限于表决投票的权利）以及行使因理财产品财产投资于证券类基础资产（含债券、股票等）或其他基础资产（包括但不限于债权类资产）所产生的相关权利。</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8.以理财产品投资管理人的名义，依照法律法规相关规定以及代表理财产品份额持有人的利益行使代为追索的权利（包括但不限于提起诉讼/仲裁、申请保全/执行的权利）或者实施其他风险处置，行使、放弃、变更相关权利义务等法律行为。</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9.在法律法规、监管政策允许的前提下调整估值日。</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10.法律法规、监管政策和本理财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约定的其他权利。</w:t>
      </w:r>
    </w:p>
    <w:p>
      <w:pPr>
        <w:pStyle w:val="3"/>
        <w:spacing w:before="0" w:after="0" w:line="360" w:lineRule="auto"/>
        <w:ind w:firstLine="422" w:firstLineChars="200"/>
        <w:rPr>
          <w:rFonts w:hint="eastAsia" w:ascii="楷体" w:hAnsi="楷体" w:eastAsia="楷体" w:cs="楷体"/>
          <w:sz w:val="21"/>
          <w:u w:val="none"/>
        </w:rPr>
      </w:pPr>
      <w:bookmarkStart w:id="15" w:name="_Toc98680965"/>
      <w:r>
        <w:rPr>
          <w:rFonts w:hint="eastAsia" w:ascii="楷体" w:hAnsi="楷体" w:eastAsia="楷体" w:cs="楷体"/>
          <w:sz w:val="21"/>
          <w:u w:val="none"/>
        </w:rPr>
        <w:t>（二）托管人</w:t>
      </w:r>
      <w:bookmarkEnd w:id="15"/>
    </w:p>
    <w:p>
      <w:pPr>
        <w:snapToGrid w:val="0"/>
        <w:spacing w:line="360" w:lineRule="auto"/>
        <w:ind w:firstLine="420" w:firstLineChars="200"/>
        <w:rPr>
          <w:rFonts w:hint="eastAsia" w:ascii="楷体" w:hAnsi="楷体" w:eastAsia="楷体" w:cs="楷体"/>
          <w:b w:val="0"/>
          <w:bCs w:val="0"/>
          <w:color w:val="auto"/>
          <w:szCs w:val="21"/>
          <w:u w:val="none"/>
        </w:rPr>
      </w:pPr>
      <w:r>
        <w:rPr>
          <w:rFonts w:hint="eastAsia" w:ascii="楷体" w:hAnsi="楷体" w:eastAsia="楷体" w:cs="楷体"/>
          <w:b w:val="0"/>
          <w:bCs w:val="0"/>
          <w:szCs w:val="21"/>
          <w:u w:val="none"/>
        </w:rPr>
        <w:t>本理财产品的托管人</w:t>
      </w:r>
      <w:r>
        <w:rPr>
          <w:rFonts w:hint="eastAsia" w:ascii="楷体" w:hAnsi="楷体" w:eastAsia="楷体" w:cs="楷体"/>
          <w:b w:val="0"/>
          <w:bCs w:val="0"/>
          <w:color w:val="auto"/>
          <w:szCs w:val="21"/>
          <w:u w:val="none"/>
        </w:rPr>
        <w:t>为</w:t>
      </w:r>
      <w:r>
        <w:rPr>
          <w:rFonts w:hint="eastAsia" w:ascii="楷体" w:hAnsi="楷体" w:eastAsia="楷体" w:cs="楷体"/>
          <w:b w:val="0"/>
          <w:bCs w:val="0"/>
          <w:color w:val="auto"/>
          <w:szCs w:val="21"/>
          <w:u w:val="none"/>
          <w:lang w:eastAsia="zh-CN"/>
        </w:rPr>
        <w:t>【上海银行股份有限公司】</w:t>
      </w:r>
      <w:r>
        <w:rPr>
          <w:rFonts w:hint="eastAsia" w:ascii="楷体" w:hAnsi="楷体" w:eastAsia="楷体" w:cs="楷体"/>
          <w:b w:val="0"/>
          <w:bCs w:val="0"/>
          <w:color w:val="auto"/>
          <w:szCs w:val="21"/>
          <w:u w:val="none"/>
        </w:rPr>
        <w:t>。</w:t>
      </w:r>
    </w:p>
    <w:p>
      <w:pPr>
        <w:snapToGrid w:val="0"/>
        <w:spacing w:line="360" w:lineRule="auto"/>
        <w:ind w:firstLine="420" w:firstLineChars="200"/>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rPr>
                <w:rFonts w:hint="eastAsia" w:ascii="楷体" w:hAnsi="楷体" w:eastAsia="楷体" w:cs="楷体"/>
                <w:b/>
                <w:bCs/>
                <w:color w:val="auto"/>
                <w:szCs w:val="21"/>
                <w:u w:val="none"/>
              </w:rPr>
            </w:pPr>
            <w:r>
              <w:rPr>
                <w:rFonts w:hint="eastAsia" w:ascii="楷体" w:hAnsi="楷体" w:eastAsia="楷体" w:cs="楷体"/>
                <w:b/>
                <w:bCs/>
                <w:color w:val="auto"/>
                <w:szCs w:val="21"/>
                <w:u w:val="none"/>
              </w:rPr>
              <w:t>机构名称</w:t>
            </w:r>
          </w:p>
        </w:tc>
        <w:tc>
          <w:tcPr>
            <w:tcW w:w="5382"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【上海银行股份有限公司】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地址</w:t>
            </w:r>
          </w:p>
        </w:tc>
        <w:tc>
          <w:tcPr>
            <w:tcW w:w="5382"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【上海市黄浦区中山南路688号】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主要职责</w:t>
            </w:r>
          </w:p>
        </w:tc>
        <w:tc>
          <w:tcPr>
            <w:tcW w:w="5382"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bidi="ar"/>
              </w:rPr>
              <w:t>由</w:t>
            </w:r>
            <w:r>
              <w:rPr>
                <w:rFonts w:hint="eastAsia" w:ascii="楷体" w:hAnsi="楷体" w:eastAsia="楷体" w:cs="楷体"/>
                <w:b w:val="0"/>
                <w:bCs w:val="0"/>
                <w:color w:val="auto"/>
                <w:szCs w:val="21"/>
                <w:u w:val="none"/>
                <w:lang w:val="en-US" w:eastAsia="zh-CN" w:bidi="ar"/>
              </w:rPr>
              <w:t>托管人机构</w:t>
            </w:r>
            <w:r>
              <w:rPr>
                <w:rFonts w:hint="eastAsia" w:ascii="楷体" w:hAnsi="楷体" w:eastAsia="楷体" w:cs="楷体"/>
                <w:b w:val="0"/>
                <w:bCs w:val="0"/>
                <w:color w:val="auto"/>
                <w:szCs w:val="21"/>
                <w:u w:val="none"/>
                <w:lang w:bidi="ar"/>
              </w:rPr>
              <w:t>提供包括账户开立、资金保管、资金清算、估值核算等理财产品托管服务。</w:t>
            </w:r>
          </w:p>
        </w:tc>
      </w:tr>
    </w:tbl>
    <w:p>
      <w:pPr>
        <w:pStyle w:val="3"/>
        <w:spacing w:before="0" w:after="0" w:line="360" w:lineRule="auto"/>
        <w:ind w:firstLine="422" w:firstLineChars="200"/>
        <w:rPr>
          <w:rFonts w:hint="eastAsia" w:ascii="楷体" w:hAnsi="楷体" w:eastAsia="楷体" w:cs="楷体"/>
          <w:color w:val="auto"/>
          <w:sz w:val="21"/>
          <w:u w:val="none"/>
        </w:rPr>
      </w:pPr>
      <w:r>
        <w:rPr>
          <w:rFonts w:hint="eastAsia" w:ascii="楷体" w:hAnsi="楷体" w:eastAsia="楷体" w:cs="楷体"/>
          <w:color w:val="auto"/>
          <w:sz w:val="21"/>
          <w:u w:val="none"/>
        </w:rPr>
        <w:t>（三）销售机构</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机构名称</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【浙江德清农村商业银行股份有限公司】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地址</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【浙江省德清县武康街道沈长圩街50号】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客户服务热线</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【0572-8434389】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主要职责</w:t>
            </w:r>
          </w:p>
        </w:tc>
        <w:tc>
          <w:tcPr>
            <w:tcW w:w="5384"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销售机构</w:t>
            </w:r>
            <w:r>
              <w:rPr>
                <w:rFonts w:hint="eastAsia" w:ascii="楷体" w:hAnsi="楷体" w:eastAsia="楷体" w:cs="楷体"/>
                <w:b w:val="0"/>
                <w:bCs w:val="0"/>
                <w:szCs w:val="21"/>
                <w:lang w:val="en-US" w:eastAsia="zh-CN"/>
              </w:rPr>
              <w:t>或</w:t>
            </w:r>
            <w:r>
              <w:rPr>
                <w:rFonts w:hint="eastAsia" w:ascii="楷体" w:hAnsi="楷体" w:eastAsia="楷体" w:cs="楷体"/>
                <w:b w:val="0"/>
                <w:bCs w:val="0"/>
                <w:szCs w:val="21"/>
                <w:u w:val="none"/>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机构名称</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【重庆富民银行股份有限公司】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地址</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rPr>
              <w:t>客户服务热线</w:t>
            </w:r>
          </w:p>
        </w:tc>
        <w:tc>
          <w:tcPr>
            <w:tcW w:w="5384" w:type="dxa"/>
            <w:vAlign w:val="center"/>
          </w:tcPr>
          <w:p>
            <w:pPr>
              <w:contextualSpacing/>
              <w:rPr>
                <w:rFonts w:hint="eastAsia" w:ascii="楷体" w:hAnsi="楷体" w:eastAsia="楷体" w:cs="楷体"/>
                <w:b w:val="0"/>
                <w:bCs w:val="0"/>
                <w:color w:val="auto"/>
                <w:szCs w:val="21"/>
                <w:u w:val="none"/>
                <w:lang w:eastAsia="zh-CN"/>
              </w:rPr>
            </w:pPr>
            <w:r>
              <w:rPr>
                <w:rFonts w:hint="eastAsia" w:ascii="楷体" w:hAnsi="楷体" w:eastAsia="楷体" w:cs="楷体"/>
                <w:b w:val="0"/>
                <w:bCs w:val="0"/>
                <w:color w:val="auto"/>
                <w:szCs w:val="21"/>
                <w:u w:val="none"/>
                <w:lang w:eastAsia="zh-CN"/>
              </w:rPr>
              <w:t>【956118】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u w:val="none"/>
              </w:rPr>
            </w:pPr>
            <w:r>
              <w:rPr>
                <w:rFonts w:hint="eastAsia" w:ascii="楷体" w:hAnsi="楷体" w:eastAsia="楷体" w:cs="楷体"/>
                <w:b/>
                <w:bCs/>
                <w:szCs w:val="21"/>
                <w:u w:val="none"/>
              </w:rPr>
              <w:t>主要职责</w:t>
            </w:r>
          </w:p>
        </w:tc>
        <w:tc>
          <w:tcPr>
            <w:tcW w:w="5384" w:type="dxa"/>
            <w:vAlign w:val="center"/>
          </w:tcPr>
          <w:p>
            <w:pPr>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销售机构</w:t>
            </w:r>
            <w:r>
              <w:rPr>
                <w:rFonts w:hint="eastAsia" w:ascii="楷体" w:hAnsi="楷体" w:eastAsia="楷体" w:cs="楷体"/>
                <w:b w:val="0"/>
                <w:bCs w:val="0"/>
                <w:szCs w:val="21"/>
                <w:lang w:val="en-US" w:eastAsia="zh-CN"/>
              </w:rPr>
              <w:t>或</w:t>
            </w:r>
            <w:r>
              <w:rPr>
                <w:rFonts w:hint="eastAsia" w:ascii="楷体" w:hAnsi="楷体" w:eastAsia="楷体" w:cs="楷体"/>
                <w:b w:val="0"/>
                <w:bCs w:val="0"/>
                <w:szCs w:val="21"/>
                <w:u w:val="none"/>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pPr>
        <w:pStyle w:val="3"/>
        <w:spacing w:before="0" w:after="0" w:line="360" w:lineRule="auto"/>
        <w:ind w:firstLine="422" w:firstLineChars="200"/>
        <w:rPr>
          <w:rFonts w:hint="eastAsia" w:ascii="楷体" w:hAnsi="楷体" w:eastAsia="楷体" w:cs="楷体"/>
          <w:sz w:val="21"/>
          <w:u w:val="none"/>
        </w:rPr>
      </w:pPr>
      <w:bookmarkStart w:id="16" w:name="_Toc98680967"/>
      <w:r>
        <w:rPr>
          <w:rFonts w:hint="eastAsia" w:ascii="楷体" w:hAnsi="楷体" w:eastAsia="楷体" w:cs="楷体"/>
          <w:sz w:val="21"/>
          <w:u w:val="none"/>
        </w:rPr>
        <w:t>（四）</w:t>
      </w:r>
      <w:r>
        <w:rPr>
          <w:rFonts w:hint="eastAsia" w:ascii="楷体" w:hAnsi="楷体" w:eastAsia="楷体" w:cs="楷体"/>
          <w:sz w:val="21"/>
          <w:lang w:val="en-US" w:eastAsia="zh-CN"/>
        </w:rPr>
        <w:t>投资</w:t>
      </w:r>
      <w:r>
        <w:rPr>
          <w:rFonts w:hint="eastAsia" w:ascii="楷体" w:hAnsi="楷体" w:eastAsia="楷体" w:cs="楷体"/>
          <w:sz w:val="21"/>
          <w:u w:val="none"/>
        </w:rPr>
        <w:t>合作机构</w:t>
      </w:r>
      <w:bookmarkEnd w:id="16"/>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本理财产品投资合作机构可能包括但不限于华润深国投信托有限公司、国投泰康信托有限公司、中国对外经济贸易信托有限公司、中国人保资产管理有限公司、大家资产管理有限责任公司、中国人寿资产管理有限公司、上银基金管理有限公司、永赢基金管理有限公司、上海光大证券资产管理有限公司、华泰证券(上海)资产管理有限公司、长城财富保险资产管理股份有限公司、民生通惠资产管理有限公司、国寿安保基金管理有限公司、平安信托有限责任公司、华鑫证券有限责任公司等。</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后续新增投资合作机构时，管理人将对合作机构的资质条件、专业服务能力和风险管理水平等进行充分评价，切实履行投资管理职责。</w:t>
      </w:r>
    </w:p>
    <w:p>
      <w:pPr>
        <w:pStyle w:val="2"/>
        <w:spacing w:before="120" w:after="120" w:line="240" w:lineRule="auto"/>
        <w:rPr>
          <w:rFonts w:hint="eastAsia" w:ascii="楷体" w:hAnsi="楷体" w:eastAsia="楷体" w:cs="楷体"/>
          <w:sz w:val="28"/>
          <w:szCs w:val="28"/>
          <w:u w:val="none"/>
        </w:rPr>
      </w:pPr>
      <w:bookmarkStart w:id="17" w:name="_Toc98680981"/>
      <w:r>
        <w:rPr>
          <w:rFonts w:hint="eastAsia" w:ascii="楷体" w:hAnsi="楷体" w:eastAsia="楷体" w:cs="楷体"/>
          <w:sz w:val="28"/>
          <w:szCs w:val="28"/>
          <w:u w:val="none"/>
          <w:lang w:val="en-US" w:eastAsia="zh-CN"/>
        </w:rPr>
        <w:t>八</w:t>
      </w:r>
      <w:r>
        <w:rPr>
          <w:rFonts w:hint="eastAsia" w:ascii="楷体" w:hAnsi="楷体" w:eastAsia="楷体" w:cs="楷体"/>
          <w:sz w:val="28"/>
          <w:szCs w:val="28"/>
          <w:u w:val="none"/>
        </w:rPr>
        <w:t>、产品的收益、费用及税费</w:t>
      </w:r>
      <w:bookmarkEnd w:id="17"/>
    </w:p>
    <w:p>
      <w:pPr>
        <w:pStyle w:val="3"/>
        <w:spacing w:before="0" w:after="0" w:line="360" w:lineRule="auto"/>
        <w:ind w:firstLine="422" w:firstLineChars="200"/>
        <w:rPr>
          <w:rFonts w:hint="eastAsia" w:ascii="楷体" w:hAnsi="楷体" w:eastAsia="楷体" w:cs="楷体"/>
          <w:sz w:val="21"/>
          <w:u w:val="none"/>
        </w:rPr>
      </w:pPr>
      <w:bookmarkStart w:id="18" w:name="_Toc98680982"/>
      <w:r>
        <w:rPr>
          <w:rFonts w:hint="eastAsia" w:ascii="楷体" w:hAnsi="楷体" w:eastAsia="楷体" w:cs="楷体"/>
          <w:sz w:val="21"/>
          <w:u w:val="none"/>
        </w:rPr>
        <w:t>（一）理财产品的收益分配</w:t>
      </w:r>
      <w:bookmarkEnd w:id="18"/>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1.投资者持有本理财产品期间及到期时，管理人不承诺保证投资本金安全且不保证理财收益，投资者收益（如有）随理财产品的投资盈亏水平浮动。</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rPr>
        <w:t>2.就期间分配而言，</w:t>
      </w:r>
      <w:r>
        <w:rPr>
          <w:rFonts w:hint="eastAsia" w:ascii="楷体" w:hAnsi="楷体" w:eastAsia="楷体" w:cs="楷体"/>
          <w:b w:val="0"/>
          <w:bCs w:val="0"/>
          <w:szCs w:val="21"/>
          <w:u w:val="none"/>
        </w:rPr>
        <w:t>在满足</w:t>
      </w:r>
      <w:r>
        <w:rPr>
          <w:rFonts w:hint="eastAsia" w:ascii="楷体" w:hAnsi="楷体" w:eastAsia="楷体" w:cs="楷体"/>
          <w:b w:val="0"/>
          <w:bCs w:val="0"/>
          <w:szCs w:val="21"/>
          <w:u w:val="none"/>
          <w:lang w:val="en-US" w:eastAsia="zh-CN"/>
        </w:rPr>
        <w:t>收益</w:t>
      </w:r>
      <w:r>
        <w:rPr>
          <w:rFonts w:hint="eastAsia" w:ascii="楷体" w:hAnsi="楷体" w:eastAsia="楷体" w:cs="楷体"/>
          <w:b w:val="0"/>
          <w:bCs w:val="0"/>
          <w:szCs w:val="21"/>
          <w:u w:val="none"/>
        </w:rPr>
        <w:t>分配基准日</w:t>
      </w:r>
      <w:r>
        <w:rPr>
          <w:rFonts w:hint="eastAsia" w:ascii="楷体" w:hAnsi="楷体" w:eastAsia="楷体" w:cs="楷体"/>
          <w:b w:val="0"/>
          <w:bCs w:val="0"/>
          <w:szCs w:val="21"/>
          <w:u w:val="none"/>
          <w:lang w:val="en-US" w:eastAsia="zh-CN"/>
        </w:rPr>
        <w:t>（以管理人确定的为准）</w:t>
      </w:r>
      <w:r>
        <w:rPr>
          <w:rFonts w:hint="eastAsia" w:ascii="楷体" w:hAnsi="楷体" w:eastAsia="楷体" w:cs="楷体"/>
          <w:b w:val="0"/>
          <w:bCs w:val="0"/>
          <w:szCs w:val="21"/>
          <w:u w:val="none"/>
        </w:rPr>
        <w:t>理财产品</w:t>
      </w:r>
      <w:r>
        <w:rPr>
          <w:rFonts w:hint="eastAsia" w:ascii="楷体" w:hAnsi="楷体" w:eastAsia="楷体" w:cs="楷体"/>
          <w:b w:val="0"/>
          <w:bCs w:val="0"/>
          <w:szCs w:val="21"/>
          <w:u w:val="none"/>
          <w:lang w:val="en-US" w:eastAsia="zh-CN"/>
        </w:rPr>
        <w:t>份额</w:t>
      </w:r>
      <w:r>
        <w:rPr>
          <w:rFonts w:hint="eastAsia" w:ascii="楷体" w:hAnsi="楷体" w:eastAsia="楷体" w:cs="楷体"/>
          <w:b w:val="0"/>
          <w:bCs w:val="0"/>
          <w:szCs w:val="21"/>
          <w:u w:val="none"/>
        </w:rPr>
        <w:t>净值大于</w:t>
      </w:r>
      <w:r>
        <w:rPr>
          <w:rFonts w:hint="eastAsia" w:ascii="楷体" w:hAnsi="楷体" w:eastAsia="楷体" w:cs="楷体"/>
          <w:szCs w:val="21"/>
        </w:rPr>
        <w:t>理财产品初始份额净值</w:t>
      </w:r>
      <w:r>
        <w:rPr>
          <w:rFonts w:hint="eastAsia" w:ascii="楷体" w:hAnsi="楷体" w:eastAsia="楷体" w:cs="楷体"/>
          <w:b w:val="0"/>
          <w:bCs w:val="0"/>
          <w:szCs w:val="21"/>
          <w:u w:val="none"/>
        </w:rPr>
        <w:t>的条件下，理财产品管理人可进行不定期分配，分配方式为现金分配。</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期间分配原则及方式：</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（1）每一理财产品份额享有同等分配权；</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w:t>
      </w:r>
      <w:r>
        <w:rPr>
          <w:rFonts w:hint="eastAsia" w:ascii="楷体" w:hAnsi="楷体" w:eastAsia="楷体" w:cs="楷体"/>
          <w:b w:val="0"/>
          <w:bCs w:val="0"/>
          <w:szCs w:val="21"/>
          <w:highlight w:val="none"/>
          <w:u w:val="none"/>
        </w:rPr>
        <w:t>如需进行</w:t>
      </w:r>
      <w:r>
        <w:rPr>
          <w:rFonts w:hint="eastAsia" w:ascii="楷体" w:hAnsi="楷体" w:eastAsia="楷体" w:cs="楷体"/>
          <w:b w:val="0"/>
          <w:bCs w:val="0"/>
          <w:szCs w:val="21"/>
          <w:highlight w:val="none"/>
          <w:u w:val="none"/>
          <w:lang w:val="en-US" w:eastAsia="zh-CN"/>
        </w:rPr>
        <w:t>收益</w:t>
      </w:r>
      <w:r>
        <w:rPr>
          <w:rFonts w:hint="eastAsia" w:ascii="楷体" w:hAnsi="楷体" w:eastAsia="楷体" w:cs="楷体"/>
          <w:b w:val="0"/>
          <w:bCs w:val="0"/>
          <w:szCs w:val="21"/>
          <w:highlight w:val="none"/>
          <w:u w:val="none"/>
        </w:rPr>
        <w:t>分配，管</w:t>
      </w:r>
      <w:r>
        <w:rPr>
          <w:rFonts w:hint="eastAsia" w:ascii="楷体" w:hAnsi="楷体" w:eastAsia="楷体" w:cs="楷体"/>
          <w:b w:val="0"/>
          <w:bCs w:val="0"/>
          <w:szCs w:val="21"/>
          <w:u w:val="none"/>
        </w:rPr>
        <w:t>理人应至少在分红日后2个工作日内通过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w:t>
      </w:r>
      <w:r>
        <w:rPr>
          <w:rFonts w:hint="eastAsia" w:ascii="楷体" w:hAnsi="楷体" w:eastAsia="楷体" w:cs="楷体"/>
          <w:b w:val="0"/>
          <w:bCs w:val="0"/>
          <w:szCs w:val="21"/>
          <w:u w:val="none"/>
          <w:lang w:val="en-US" w:eastAsia="zh-CN"/>
        </w:rPr>
        <w:t>收益</w:t>
      </w:r>
      <w:r>
        <w:rPr>
          <w:rFonts w:hint="eastAsia" w:ascii="楷体" w:hAnsi="楷体" w:eastAsia="楷体" w:cs="楷体"/>
          <w:b w:val="0"/>
          <w:bCs w:val="0"/>
          <w:szCs w:val="21"/>
          <w:u w:val="none"/>
        </w:rPr>
        <w:t>分配方案，包括但不限于收益分配基准日、分红日、收益分配对象、收益分配方式、分配金额等内容。</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（3）原则上，管理人在理财产品分红日后5个工作日内将投资者可得资金转至投资者账户。超过5个工作日的，管理人将提前2个工作日通过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（4）在符合法律法规及理财产品合同约定，并对理财产品份额持有人利益无实质不利影响的前提下，理财产品管理人可通过公告形式对理财产品期间</w:t>
      </w:r>
      <w:r>
        <w:rPr>
          <w:rFonts w:hint="eastAsia" w:ascii="楷体" w:hAnsi="楷体" w:eastAsia="楷体" w:cs="楷体"/>
          <w:b w:val="0"/>
          <w:bCs w:val="0"/>
          <w:szCs w:val="21"/>
          <w:u w:val="none"/>
          <w:lang w:val="en-US" w:eastAsia="zh-CN"/>
        </w:rPr>
        <w:t>收益</w:t>
      </w:r>
      <w:r>
        <w:rPr>
          <w:rFonts w:hint="eastAsia" w:ascii="楷体" w:hAnsi="楷体" w:eastAsia="楷体" w:cs="楷体"/>
          <w:b w:val="0"/>
          <w:bCs w:val="0"/>
          <w:szCs w:val="21"/>
          <w:u w:val="none"/>
        </w:rPr>
        <w:t>分配原则及方式进行调整。</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rPr>
        <w:t>3.就终止分配而言，</w:t>
      </w:r>
      <w:r>
        <w:rPr>
          <w:rFonts w:hint="eastAsia" w:ascii="楷体" w:hAnsi="楷体" w:eastAsia="楷体" w:cs="楷体"/>
          <w:b w:val="0"/>
          <w:bCs w:val="0"/>
          <w:szCs w:val="21"/>
          <w:u w:val="none"/>
        </w:rPr>
        <w:t>在理财产品终止日如理财产品项下财产全部变现，管理人在理财产品终止日后的5个工作日内扣除应由理财产品承担的税费及费用（包括但不限于固定投资管理费、托管费、销售管理费等）后将投资者应得资金（如有）划转至投资者指定账户。</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费用（包括但不限于固定投资管理费、托管费、销售管理费等，由管理人、第三方垫付的费用）后，按照各投资者持有理财产品份额比例在5个工作日内向投资者分配。延期清算期间，本理财</w:t>
      </w:r>
      <w:r>
        <w:rPr>
          <w:rFonts w:hint="eastAsia" w:ascii="楷体" w:hAnsi="楷体" w:eastAsia="楷体" w:cs="楷体"/>
          <w:b w:val="0"/>
          <w:bCs w:val="0"/>
          <w:szCs w:val="21"/>
          <w:u w:val="none"/>
          <w:lang w:val="en-US" w:eastAsia="zh-CN"/>
        </w:rPr>
        <w:t>产品</w:t>
      </w:r>
      <w:r>
        <w:rPr>
          <w:rFonts w:hint="eastAsia" w:ascii="楷体" w:hAnsi="楷体" w:eastAsia="楷体" w:cs="楷体"/>
          <w:b w:val="0"/>
          <w:bCs w:val="0"/>
          <w:szCs w:val="21"/>
          <w:u w:val="none"/>
        </w:rPr>
        <w:t>不收取固定投资管理费、托管费及销售</w:t>
      </w:r>
      <w:r>
        <w:rPr>
          <w:rFonts w:hint="eastAsia" w:ascii="楷体" w:hAnsi="楷体" w:eastAsia="楷体" w:cs="楷体"/>
          <w:b w:val="0"/>
          <w:bCs w:val="0"/>
          <w:szCs w:val="21"/>
          <w:u w:val="none"/>
          <w:lang w:val="en-US" w:eastAsia="zh-CN"/>
        </w:rPr>
        <w:t>管理</w:t>
      </w:r>
      <w:r>
        <w:rPr>
          <w:rFonts w:hint="eastAsia" w:ascii="楷体" w:hAnsi="楷体" w:eastAsia="楷体" w:cs="楷体"/>
          <w:b w:val="0"/>
          <w:bCs w:val="0"/>
          <w:szCs w:val="21"/>
          <w:u w:val="none"/>
        </w:rPr>
        <w:t>费等。理财产品项下财产正常变现情况下，投资者理财产品终止日可得资金（如有）计算公式如下：</w:t>
      </w:r>
    </w:p>
    <w:p>
      <w:pPr>
        <w:spacing w:line="360" w:lineRule="auto"/>
        <w:ind w:firstLine="420" w:firstLineChars="200"/>
        <w:contextualSpacing/>
        <w:rPr>
          <w:rFonts w:hint="eastAsia" w:ascii="楷体" w:hAnsi="楷体" w:eastAsia="楷体" w:cs="楷体"/>
          <w:b w:val="0"/>
          <w:bCs w:val="0"/>
          <w:szCs w:val="21"/>
          <w:highlight w:val="none"/>
          <w:u w:val="none"/>
        </w:rPr>
      </w:pPr>
      <w:r>
        <w:rPr>
          <w:rFonts w:hint="eastAsia" w:ascii="楷体" w:hAnsi="楷体" w:eastAsia="楷体" w:cs="楷体"/>
          <w:b w:val="0"/>
          <w:bCs w:val="0"/>
          <w:szCs w:val="21"/>
          <w:highlight w:val="none"/>
          <w:u w:val="none"/>
        </w:rPr>
        <w:t>投资者可得资金=投资者理财产品终止日持有理财产品份额×理财产品终止日理财产品</w:t>
      </w:r>
      <w:r>
        <w:rPr>
          <w:rFonts w:hint="eastAsia" w:ascii="楷体" w:hAnsi="楷体" w:eastAsia="楷体" w:cs="楷体"/>
          <w:b w:val="0"/>
          <w:bCs w:val="0"/>
          <w:szCs w:val="21"/>
          <w:highlight w:val="none"/>
          <w:u w:val="none"/>
          <w:lang w:val="en-US" w:eastAsia="zh-CN"/>
        </w:rPr>
        <w:t>份额</w:t>
      </w:r>
      <w:r>
        <w:rPr>
          <w:rFonts w:hint="eastAsia" w:ascii="楷体" w:hAnsi="楷体" w:eastAsia="楷体" w:cs="楷体"/>
          <w:b w:val="0"/>
          <w:bCs w:val="0"/>
          <w:szCs w:val="21"/>
          <w:highlight w:val="none"/>
          <w:u w:val="none"/>
        </w:rPr>
        <w:t>净值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如因理财产品所投资的标的资产因市场风险、信用风险等原因，导致资产无法在理财产品终止日内变现，则投资者应得资金为理财产品变现金额扣除应由理财产品承担的费用、税费后的剩余金额。</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理财产品项下财产正常变现情况下，理财产品投资者在终止日可得收益（不包括投资者通过期间分配已经获得的收益）的计算公式为：</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每份额收益=理财产品终止日</w:t>
      </w:r>
      <w:r>
        <w:rPr>
          <w:rFonts w:hint="eastAsia" w:ascii="楷体" w:hAnsi="楷体" w:eastAsia="楷体" w:cs="楷体"/>
          <w:b w:val="0"/>
          <w:bCs w:val="0"/>
          <w:szCs w:val="21"/>
          <w:u w:val="none"/>
          <w:lang w:val="en-US" w:eastAsia="zh-CN"/>
        </w:rPr>
        <w:t>份额</w:t>
      </w:r>
      <w:r>
        <w:rPr>
          <w:rFonts w:hint="eastAsia" w:ascii="楷体" w:hAnsi="楷体" w:eastAsia="楷体" w:cs="楷体"/>
          <w:b w:val="0"/>
          <w:bCs w:val="0"/>
          <w:szCs w:val="21"/>
          <w:u w:val="none"/>
        </w:rPr>
        <w:t>净值-理财产品初始份额净值或投资者取得份额所在确认日前</w:t>
      </w:r>
      <w:r>
        <w:rPr>
          <w:rFonts w:hint="eastAsia" w:ascii="楷体" w:hAnsi="楷体" w:eastAsia="楷体" w:cs="楷体"/>
          <w:b w:val="0"/>
          <w:bCs w:val="0"/>
          <w:szCs w:val="21"/>
          <w:u w:val="none"/>
          <w:lang w:eastAsia="zh-CN"/>
        </w:rPr>
        <w:t>【1】</w:t>
      </w:r>
      <w:r>
        <w:rPr>
          <w:rFonts w:hint="eastAsia" w:ascii="楷体" w:hAnsi="楷体" w:eastAsia="楷体" w:cs="楷体"/>
          <w:b w:val="0"/>
          <w:bCs w:val="0"/>
          <w:szCs w:val="21"/>
          <w:u w:val="none"/>
          <w:lang w:val="en-US" w:eastAsia="zh-CN"/>
        </w:rPr>
        <w:t>个</w:t>
      </w:r>
      <w:r>
        <w:rPr>
          <w:rFonts w:hint="eastAsia" w:ascii="楷体" w:hAnsi="楷体" w:eastAsia="楷体" w:cs="楷体"/>
          <w:b w:val="0"/>
          <w:bCs w:val="0"/>
          <w:szCs w:val="21"/>
          <w:u w:val="none"/>
          <w:lang w:eastAsia="zh-CN"/>
        </w:rPr>
        <w:t>【交易日】</w:t>
      </w:r>
      <w:r>
        <w:rPr>
          <w:rFonts w:hint="eastAsia" w:ascii="楷体" w:hAnsi="楷体" w:eastAsia="楷体" w:cs="楷体"/>
          <w:b w:val="0"/>
          <w:bCs w:val="0"/>
          <w:szCs w:val="21"/>
          <w:u w:val="none"/>
          <w:lang w:val="en-US" w:eastAsia="zh-CN"/>
        </w:rPr>
        <w:t>的份额</w:t>
      </w:r>
      <w:r>
        <w:rPr>
          <w:rFonts w:hint="eastAsia" w:ascii="楷体" w:hAnsi="楷体" w:eastAsia="楷体" w:cs="楷体"/>
          <w:b w:val="0"/>
          <w:bCs w:val="0"/>
          <w:szCs w:val="21"/>
          <w:u w:val="none"/>
        </w:rPr>
        <w:t>净值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投资者在终止日可得总收益=投资者理财产品终止日持有理财产品份额×每份额收益</w:t>
      </w:r>
    </w:p>
    <w:p>
      <w:pPr>
        <w:pStyle w:val="3"/>
        <w:spacing w:before="0" w:after="0" w:line="360" w:lineRule="auto"/>
        <w:ind w:firstLine="422" w:firstLineChars="200"/>
        <w:rPr>
          <w:rFonts w:hint="eastAsia" w:ascii="楷体" w:hAnsi="楷体" w:eastAsia="楷体" w:cs="楷体"/>
          <w:sz w:val="21"/>
          <w:u w:val="none"/>
        </w:rPr>
      </w:pPr>
      <w:bookmarkStart w:id="19" w:name="_Toc98680983"/>
      <w:r>
        <w:rPr>
          <w:rFonts w:hint="eastAsia" w:ascii="楷体" w:hAnsi="楷体" w:eastAsia="楷体" w:cs="楷体"/>
          <w:sz w:val="21"/>
          <w:u w:val="none"/>
        </w:rPr>
        <w:t>（二）理财产品费用</w:t>
      </w:r>
      <w:bookmarkEnd w:id="19"/>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w:t>
      </w:r>
      <w:r>
        <w:rPr>
          <w:rFonts w:hint="eastAsia" w:ascii="楷体" w:hAnsi="楷体" w:eastAsia="楷体" w:cs="楷体"/>
          <w:b w:val="0"/>
          <w:bCs w:val="0"/>
          <w:szCs w:val="21"/>
          <w:highlight w:val="none"/>
          <w:u w:val="none"/>
        </w:rPr>
        <w:t>理财产品费用指管理人为成立理财产品及处理理财产品事务目的而支出的所有费用，包括但不限于管理人收取的固定投资管理费、</w:t>
      </w:r>
      <w:r>
        <w:rPr>
          <w:rFonts w:hint="eastAsia" w:ascii="楷体" w:hAnsi="楷体" w:eastAsia="楷体" w:cs="楷体"/>
          <w:b w:val="0"/>
          <w:bCs w:val="0"/>
          <w:szCs w:val="21"/>
          <w:highlight w:val="none"/>
          <w:u w:val="none"/>
          <w:lang w:val="en-US" w:eastAsia="zh-CN"/>
        </w:rPr>
        <w:t>浮动投资管理费（如有）、</w:t>
      </w:r>
      <w:r>
        <w:rPr>
          <w:rFonts w:hint="eastAsia" w:ascii="楷体" w:hAnsi="楷体" w:eastAsia="楷体" w:cs="楷体"/>
          <w:b w:val="0"/>
          <w:bCs w:val="0"/>
          <w:szCs w:val="21"/>
          <w:highlight w:val="none"/>
          <w:u w:val="none"/>
        </w:rPr>
        <w:t>托管人收取的托管费、销售机构收取的销售管理费、因投资资产而产生的资产服务费（如有）</w:t>
      </w:r>
      <w:r>
        <w:rPr>
          <w:rFonts w:hint="eastAsia" w:ascii="楷体" w:hAnsi="楷体" w:eastAsia="楷体" w:cs="楷体"/>
          <w:b w:val="0"/>
          <w:bCs w:val="0"/>
          <w:szCs w:val="21"/>
          <w:highlight w:val="none"/>
          <w:u w:val="none"/>
          <w:lang w:eastAsia="zh-CN"/>
        </w:rPr>
        <w:t>、</w:t>
      </w:r>
      <w:r>
        <w:rPr>
          <w:rFonts w:hint="eastAsia" w:ascii="楷体" w:hAnsi="楷体" w:eastAsia="楷体" w:cs="楷体"/>
          <w:b w:val="0"/>
          <w:bCs w:val="0"/>
          <w:szCs w:val="21"/>
          <w:highlight w:val="none"/>
          <w:u w:val="none"/>
        </w:rPr>
        <w:t>交易费用（包括但不限于交易佣金、撮合费用等）、理财产品验资费、审</w:t>
      </w:r>
      <w:r>
        <w:rPr>
          <w:rFonts w:hint="eastAsia" w:ascii="楷体" w:hAnsi="楷体" w:eastAsia="楷体" w:cs="楷体"/>
          <w:b w:val="0"/>
          <w:bCs w:val="0"/>
          <w:szCs w:val="21"/>
          <w:u w:val="none"/>
        </w:rPr>
        <w:t>计费、保全费、律师费、信息披露费、清算费、执行费用、外包服务费、资产评估费、资产存续期管理所需费用及按照法律法规规章规定和理财产品销售文件约定应由产品承担的费用，具体以实际发生为准。</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理财产品费用按本《产品说明书》及投资管理人与费用收取方之间的协议约定从理财产品资产中支付。投资管理人或理财产品参与方以固有财产先行垫付的，有权从理财产品资产中优先受偿。</w:t>
      </w:r>
    </w:p>
    <w:p>
      <w:pPr>
        <w:spacing w:line="360" w:lineRule="auto"/>
        <w:ind w:firstLine="420"/>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3.本理财产品</w:t>
      </w:r>
      <w:r>
        <w:rPr>
          <w:rFonts w:hint="eastAsia" w:ascii="楷体" w:hAnsi="楷体" w:eastAsia="楷体" w:cs="楷体"/>
          <w:b w:val="0"/>
          <w:bCs w:val="0"/>
          <w:szCs w:val="21"/>
          <w:u w:val="none"/>
        </w:rPr>
        <w:t>销售管理费、固定投资管理费、托管费均按日根据理财产品上一自然日日终产品</w:t>
      </w:r>
      <w:r>
        <w:rPr>
          <w:rFonts w:hint="eastAsia" w:ascii="楷体" w:hAnsi="楷体" w:eastAsia="楷体" w:cs="楷体"/>
          <w:b w:val="0"/>
          <w:bCs w:val="0"/>
          <w:szCs w:val="21"/>
          <w:u w:val="none"/>
          <w:lang w:val="en-US" w:eastAsia="zh-CN"/>
        </w:rPr>
        <w:t>资产</w:t>
      </w:r>
      <w:r>
        <w:rPr>
          <w:rFonts w:hint="eastAsia" w:ascii="楷体" w:hAnsi="楷体" w:eastAsia="楷体" w:cs="楷体"/>
          <w:b w:val="0"/>
          <w:bCs w:val="0"/>
          <w:szCs w:val="21"/>
          <w:u w:val="none"/>
        </w:rPr>
        <w:t>净值进行提取，均为年化费率</w:t>
      </w:r>
      <w:r>
        <w:rPr>
          <w:rFonts w:hint="eastAsia" w:ascii="楷体" w:hAnsi="楷体" w:eastAsia="楷体" w:cs="楷体"/>
          <w:b w:val="0"/>
          <w:bCs w:val="0"/>
          <w:szCs w:val="21"/>
          <w:u w:val="none"/>
          <w:lang w:val="en-US" w:eastAsia="zh-CN"/>
        </w:rPr>
        <w:t>：</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（1）销售管理费：年化费率0.60%。</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（2）固定投资管理费：年化费率0.60%。</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（3）托管费：年化费率0.02%</w:t>
      </w:r>
    </w:p>
    <w:p>
      <w:pPr>
        <w:spacing w:line="360" w:lineRule="auto"/>
        <w:ind w:firstLine="420"/>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理财产品某一类份额每个自然日计提的</w:t>
      </w:r>
      <w:r>
        <w:rPr>
          <w:rFonts w:hint="eastAsia" w:ascii="楷体" w:hAnsi="楷体" w:eastAsia="楷体" w:cs="楷体"/>
          <w:b w:val="0"/>
          <w:bCs w:val="0"/>
          <w:color w:val="auto"/>
          <w:szCs w:val="21"/>
          <w:u w:val="none"/>
        </w:rPr>
        <w:t>销售管理费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固定投资管理费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托管费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上一自然日</w:t>
      </w:r>
      <w:r>
        <w:rPr>
          <w:rFonts w:hint="eastAsia" w:ascii="楷体" w:hAnsi="楷体" w:eastAsia="楷体" w:cs="楷体"/>
          <w:b w:val="0"/>
          <w:bCs w:val="0"/>
          <w:color w:val="auto"/>
          <w:szCs w:val="21"/>
          <w:u w:val="none"/>
          <w:lang w:val="en-US" w:eastAsia="zh-CN"/>
        </w:rPr>
        <w:t>理财产品该类份额资产净值×</w:t>
      </w:r>
      <w:r>
        <w:rPr>
          <w:rFonts w:hint="eastAsia" w:ascii="楷体" w:hAnsi="楷体" w:eastAsia="楷体" w:cs="楷体"/>
          <w:b w:val="0"/>
          <w:bCs w:val="0"/>
          <w:color w:val="auto"/>
          <w:szCs w:val="21"/>
          <w:u w:val="none"/>
        </w:rPr>
        <w:t>销售管理费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固定投资管理费</w:t>
      </w:r>
      <w:r>
        <w:rPr>
          <w:rFonts w:hint="eastAsia" w:ascii="楷体" w:hAnsi="楷体" w:eastAsia="楷体" w:cs="楷体"/>
          <w:b w:val="0"/>
          <w:bCs w:val="0"/>
          <w:color w:val="auto"/>
          <w:szCs w:val="21"/>
          <w:u w:val="none"/>
          <w:lang w:val="en-US" w:eastAsia="zh-CN"/>
        </w:rPr>
        <w:t>/</w:t>
      </w:r>
      <w:r>
        <w:rPr>
          <w:rFonts w:hint="eastAsia" w:ascii="楷体" w:hAnsi="楷体" w:eastAsia="楷体" w:cs="楷体"/>
          <w:b w:val="0"/>
          <w:bCs w:val="0"/>
          <w:color w:val="auto"/>
          <w:szCs w:val="21"/>
          <w:u w:val="none"/>
        </w:rPr>
        <w:t>托管费</w:t>
      </w:r>
      <w:r>
        <w:rPr>
          <w:rFonts w:hint="eastAsia" w:ascii="楷体" w:hAnsi="楷体" w:eastAsia="楷体" w:cs="楷体"/>
          <w:b w:val="0"/>
          <w:bCs w:val="0"/>
          <w:color w:val="auto"/>
          <w:szCs w:val="21"/>
          <w:u w:val="none"/>
          <w:lang w:val="en-US" w:eastAsia="zh-CN"/>
        </w:rPr>
        <w:t>年化费率÷365</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color w:val="auto"/>
          <w:szCs w:val="21"/>
          <w:u w:val="none"/>
          <w:lang w:val="en-US" w:eastAsia="zh-CN"/>
        </w:rPr>
        <w:t>4.管理人有权依照理财产品销售文件约定规则收取浮动投资管理费。</w:t>
      </w:r>
    </w:p>
    <w:p>
      <w:pPr>
        <w:spacing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本理财产品浮动投资管理费收取比例：【/】</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5</w:t>
      </w:r>
      <w:r>
        <w:rPr>
          <w:rFonts w:hint="eastAsia" w:ascii="楷体" w:hAnsi="楷体" w:eastAsia="楷体" w:cs="楷体"/>
          <w:b w:val="0"/>
          <w:bCs w:val="0"/>
          <w:szCs w:val="21"/>
          <w:u w:val="none"/>
        </w:rPr>
        <w:t>.产品运作和清算中产生的其他资金汇划费、结算费、手续费、注册登记费、信息披露费、账户服务费、审计费、律师费、外包服务费、资产评估费、资产存续期管理所需费用及按照法律法规规章规定和理财产品销售文件约定应由产品承担的费用等，按照实际发生额从产品资产中列支。</w:t>
      </w:r>
    </w:p>
    <w:p>
      <w:pPr>
        <w:spacing w:line="360" w:lineRule="auto"/>
        <w:ind w:firstLine="420"/>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6</w:t>
      </w:r>
      <w:r>
        <w:rPr>
          <w:rFonts w:hint="eastAsia" w:ascii="楷体" w:hAnsi="楷体" w:eastAsia="楷体" w:cs="楷体"/>
          <w:b w:val="0"/>
          <w:bCs w:val="0"/>
          <w:szCs w:val="21"/>
          <w:u w:val="none"/>
        </w:rPr>
        <w:t>.管理人有权根据相关法律和国家政策规定调整产品费率，调整产品费率的公告将通过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“信息披露”约定的方式向投资者披露。投资者若不接受，可根据实际情况按照公告约定提前赎回本理财产品。</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7</w:t>
      </w:r>
      <w:r>
        <w:rPr>
          <w:rFonts w:hint="eastAsia" w:ascii="楷体" w:hAnsi="楷体" w:eastAsia="楷体" w:cs="楷体"/>
          <w:b/>
          <w:bCs/>
          <w:szCs w:val="21"/>
          <w:u w:val="none"/>
        </w:rPr>
        <w:t>.管理人有权根据国家政策和适用法律的规定，对本理财产品费用名目、收费条件、收费标准和收费方式进行调整，并通过</w:t>
      </w:r>
      <w:r>
        <w:rPr>
          <w:rFonts w:hint="eastAsia" w:ascii="楷体" w:hAnsi="楷体" w:eastAsia="楷体" w:cs="楷体"/>
          <w:b/>
          <w:bCs/>
          <w:szCs w:val="21"/>
          <w:u w:val="none"/>
          <w:lang w:eastAsia="zh-CN"/>
        </w:rPr>
        <w:t>《</w:t>
      </w:r>
      <w:r>
        <w:rPr>
          <w:rFonts w:hint="eastAsia" w:ascii="楷体" w:hAnsi="楷体" w:eastAsia="楷体" w:cs="楷体"/>
          <w:b/>
          <w:bCs/>
          <w:szCs w:val="21"/>
          <w:u w:val="none"/>
          <w:lang w:val="en-US" w:eastAsia="zh-CN"/>
        </w:rPr>
        <w:t>产品说明书</w:t>
      </w:r>
      <w:r>
        <w:rPr>
          <w:rFonts w:hint="eastAsia" w:ascii="楷体" w:hAnsi="楷体" w:eastAsia="楷体" w:cs="楷体"/>
          <w:b/>
          <w:bCs/>
          <w:szCs w:val="21"/>
          <w:u w:val="none"/>
          <w:lang w:eastAsia="zh-CN"/>
        </w:rPr>
        <w:t>》</w:t>
      </w:r>
      <w:r>
        <w:rPr>
          <w:rFonts w:hint="eastAsia" w:ascii="楷体" w:hAnsi="楷体" w:eastAsia="楷体" w:cs="楷体"/>
          <w:b/>
          <w:bCs/>
          <w:szCs w:val="21"/>
          <w:u w:val="none"/>
        </w:rPr>
        <w:t>“信息披露”约定的方式，向投资者披露。其中，对于管理人增加费用名目、提高收费标准等对投资者利益产生实质性影响的情形，投资者如不同意调整的，可在管理人信息披露的补充或修改后的相关业务调整生效前赎回本理财产品</w:t>
      </w:r>
      <w:r>
        <w:rPr>
          <w:rFonts w:hint="eastAsia" w:ascii="楷体" w:hAnsi="楷体" w:eastAsia="楷体" w:cs="楷体"/>
          <w:b/>
          <w:bCs/>
          <w:szCs w:val="21"/>
          <w:u w:val="none"/>
          <w:lang w:eastAsia="zh-CN"/>
        </w:rPr>
        <w:t>（</w:t>
      </w:r>
      <w:r>
        <w:rPr>
          <w:rFonts w:hint="eastAsia" w:ascii="楷体" w:hAnsi="楷体" w:eastAsia="楷体" w:cs="楷体"/>
          <w:b/>
          <w:bCs/>
          <w:szCs w:val="21"/>
          <w:u w:val="none"/>
        </w:rPr>
        <w:t>此种情况下管理人将可能在赎回开放日外单独开放特殊赎回期间，具体以届时管理人的公告为准</w:t>
      </w:r>
      <w:r>
        <w:rPr>
          <w:rFonts w:hint="eastAsia" w:ascii="楷体" w:hAnsi="楷体" w:eastAsia="楷体" w:cs="楷体"/>
          <w:b/>
          <w:bCs/>
          <w:szCs w:val="21"/>
          <w:u w:val="none"/>
          <w:lang w:eastAsia="zh-CN"/>
        </w:rPr>
        <w:t>）</w:t>
      </w:r>
      <w:r>
        <w:rPr>
          <w:rFonts w:hint="eastAsia" w:ascii="楷体" w:hAnsi="楷体" w:eastAsia="楷体" w:cs="楷体"/>
          <w:b/>
          <w:bCs/>
          <w:szCs w:val="21"/>
          <w:u w:val="none"/>
        </w:rPr>
        <w:t>，逾期未赎回的视为同意接受前述调整且继续持有本理财产品。</w:t>
      </w:r>
    </w:p>
    <w:p>
      <w:pPr>
        <w:pStyle w:val="3"/>
        <w:spacing w:before="0" w:after="0" w:line="360" w:lineRule="auto"/>
        <w:ind w:firstLine="422" w:firstLineChars="200"/>
        <w:rPr>
          <w:rFonts w:hint="eastAsia" w:ascii="楷体" w:hAnsi="楷体" w:eastAsia="楷体" w:cs="楷体"/>
          <w:b/>
          <w:bCs/>
          <w:sz w:val="21"/>
          <w:u w:val="none"/>
        </w:rPr>
      </w:pPr>
      <w:bookmarkStart w:id="20" w:name="_Toc98680984"/>
      <w:r>
        <w:rPr>
          <w:rFonts w:hint="eastAsia" w:ascii="楷体" w:hAnsi="楷体" w:eastAsia="楷体" w:cs="楷体"/>
          <w:b/>
          <w:bCs/>
          <w:sz w:val="21"/>
          <w:u w:val="none"/>
        </w:rPr>
        <w:t>（三）理财产品税费</w:t>
      </w:r>
      <w:bookmarkEnd w:id="20"/>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1.理财产品税费在理财产品资产中列支。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2.除理财</w:t>
      </w:r>
      <w:r>
        <w:rPr>
          <w:rFonts w:hint="eastAsia" w:ascii="楷体" w:hAnsi="楷体" w:eastAsia="楷体" w:cs="楷体"/>
          <w:b w:val="0"/>
          <w:bCs w:val="0"/>
          <w:szCs w:val="21"/>
          <w:u w:val="none"/>
          <w:lang w:eastAsia="zh-CN"/>
        </w:rPr>
        <w:t>产品销售文件</w:t>
      </w:r>
      <w:r>
        <w:rPr>
          <w:rFonts w:hint="eastAsia" w:ascii="楷体" w:hAnsi="楷体" w:eastAsia="楷体" w:cs="楷体"/>
          <w:b w:val="0"/>
          <w:bCs w:val="0"/>
          <w:szCs w:val="21"/>
          <w:u w:val="none"/>
        </w:rPr>
        <w:t>另有约定外，理财产品运作过程中涉及的各纳税主体，依照适用法律规定自行履行纳税义务。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3.若适用法律要求投资管理人代扣代缴理财产品份额持有人应纳税款的，投资管理人将依法履行扣缴义务，份额持有人对此应给予配合。</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p>
      <w:pPr>
        <w:pStyle w:val="2"/>
        <w:spacing w:line="240" w:lineRule="auto"/>
        <w:rPr>
          <w:rFonts w:hint="eastAsia" w:ascii="楷体" w:hAnsi="楷体" w:eastAsia="楷体" w:cs="楷体"/>
          <w:sz w:val="28"/>
          <w:szCs w:val="28"/>
          <w:lang w:eastAsia="zh-CN"/>
        </w:rPr>
      </w:pPr>
      <w:bookmarkStart w:id="21" w:name="_Toc98680985"/>
      <w:bookmarkStart w:id="22" w:name="_Toc98680986"/>
      <w:r>
        <w:rPr>
          <w:rFonts w:hint="eastAsia" w:ascii="楷体" w:hAnsi="楷体" w:eastAsia="楷体" w:cs="楷体"/>
          <w:sz w:val="28"/>
          <w:szCs w:val="28"/>
          <w:lang w:val="en-US" w:eastAsia="zh-CN"/>
        </w:rPr>
        <w:t>九</w:t>
      </w:r>
      <w:r>
        <w:rPr>
          <w:rFonts w:hint="eastAsia" w:ascii="楷体" w:hAnsi="楷体" w:eastAsia="楷体" w:cs="楷体"/>
          <w:sz w:val="28"/>
          <w:szCs w:val="28"/>
        </w:rPr>
        <w:t>、产品的延期、提前终止与产品资产清算</w:t>
      </w:r>
      <w:bookmarkEnd w:id="21"/>
    </w:p>
    <w:p>
      <w:pPr>
        <w:pStyle w:val="3"/>
        <w:spacing w:before="0" w:after="0" w:line="360" w:lineRule="auto"/>
        <w:ind w:firstLine="422" w:firstLineChars="200"/>
        <w:rPr>
          <w:rFonts w:hint="eastAsia" w:ascii="楷体" w:hAnsi="楷体" w:eastAsia="楷体" w:cs="楷体"/>
          <w:u w:val="none"/>
        </w:rPr>
      </w:pPr>
      <w:r>
        <w:rPr>
          <w:rFonts w:hint="eastAsia" w:ascii="楷体" w:hAnsi="楷体" w:eastAsia="楷体" w:cs="楷体"/>
          <w:sz w:val="21"/>
          <w:u w:val="none"/>
        </w:rPr>
        <w:t>（一）理财产品延期</w:t>
      </w:r>
      <w:bookmarkEnd w:id="22"/>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如本理财产品到期日逢非</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顺延至下一</w:t>
      </w:r>
      <w:r>
        <w:rPr>
          <w:rFonts w:hint="eastAsia" w:ascii="楷体" w:hAnsi="楷体" w:eastAsia="楷体" w:cs="楷体"/>
          <w:b w:val="0"/>
          <w:bCs w:val="0"/>
          <w:color w:val="auto"/>
          <w:szCs w:val="21"/>
          <w:u w:val="none"/>
          <w:lang w:eastAsia="zh-CN"/>
        </w:rPr>
        <w:t>【交易日】</w:t>
      </w:r>
      <w:r>
        <w:rPr>
          <w:rFonts w:hint="eastAsia" w:ascii="楷体" w:hAnsi="楷体" w:eastAsia="楷体" w:cs="楷体"/>
          <w:b w:val="0"/>
          <w:bCs w:val="0"/>
          <w:color w:val="auto"/>
          <w:szCs w:val="21"/>
          <w:u w:val="none"/>
        </w:rPr>
        <w:t>。发生下列任一情形的，理财产品管理人有权以投资者利益最大化为原则，根据市场情况综合判断决定延长产品期限，推迟理财产品到期日：</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1.预计在理财产品到期日，理财产品财产因理财产品所投资的资产的市场风险、信用风险等原因将无法全部变现；</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2.预计理财产品所投资的信托计划、资管计划、私募基金的受托人或管理人将不能按期向管理人划付理财产品的本金和收益；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color w:val="auto"/>
          <w:szCs w:val="21"/>
          <w:u w:val="none"/>
        </w:rPr>
        <w:t>3.理财产品财产涉及诉讼（或仲裁），且预计诉讼（或仲</w:t>
      </w:r>
      <w:r>
        <w:rPr>
          <w:rFonts w:hint="eastAsia" w:ascii="楷体" w:hAnsi="楷体" w:eastAsia="楷体" w:cs="楷体"/>
          <w:b w:val="0"/>
          <w:bCs w:val="0"/>
          <w:szCs w:val="21"/>
          <w:u w:val="none"/>
        </w:rPr>
        <w:t>裁）及执行程序于理财产品预计到期日尚未终结；</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4.管理人与托管人、销售机构协商一致决定延期；</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5.管理人认为有必要延期的其他情形；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6.法律规定的及本《产品说明书》约定的其他情形。</w:t>
      </w:r>
    </w:p>
    <w:p>
      <w:pPr>
        <w:spacing w:line="360" w:lineRule="auto"/>
        <w:ind w:firstLine="420" w:firstLineChars="200"/>
        <w:contextualSpacing/>
        <w:rPr>
          <w:rFonts w:hint="eastAsia" w:ascii="楷体" w:hAnsi="楷体" w:eastAsia="楷体" w:cs="楷体"/>
          <w:b/>
          <w:bCs/>
          <w:szCs w:val="21"/>
          <w:u w:val="none"/>
        </w:rPr>
      </w:pPr>
      <w:r>
        <w:rPr>
          <w:rFonts w:hint="eastAsia" w:ascii="楷体" w:hAnsi="楷体" w:eastAsia="楷体" w:cs="楷体"/>
          <w:b w:val="0"/>
          <w:bCs w:val="0"/>
          <w:szCs w:val="21"/>
          <w:u w:val="none"/>
        </w:rPr>
        <w:t>如管理人决定本理财产品延期的，将于理财产品预计到期日前2个工作日通过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对延期事项进行说明，并说明延期期限及到期之日，自披露之日即视为相关信息已送达，并据约定生效之日起生效。若投资者不同意延期的，可在信息披露的延期生效前赎回本理财产品（此种情况下可能开放特殊赎回期间，具体以届时的公告为准），</w:t>
      </w:r>
      <w:r>
        <w:rPr>
          <w:rFonts w:hint="eastAsia" w:ascii="楷体" w:hAnsi="楷体" w:eastAsia="楷体" w:cs="楷体"/>
          <w:b/>
          <w:bCs/>
          <w:szCs w:val="21"/>
          <w:u w:val="none"/>
        </w:rPr>
        <w:t>逾期未赎回的视为同意。</w:t>
      </w:r>
    </w:p>
    <w:p>
      <w:pPr>
        <w:pStyle w:val="3"/>
        <w:spacing w:before="0" w:after="0" w:line="360" w:lineRule="auto"/>
        <w:ind w:firstLine="422" w:firstLineChars="200"/>
        <w:rPr>
          <w:rFonts w:hint="eastAsia" w:ascii="楷体" w:hAnsi="楷体" w:eastAsia="楷体" w:cs="楷体"/>
          <w:sz w:val="21"/>
          <w:u w:val="none"/>
        </w:rPr>
      </w:pPr>
      <w:bookmarkStart w:id="23" w:name="_Toc98680987"/>
      <w:r>
        <w:rPr>
          <w:rFonts w:hint="eastAsia" w:ascii="楷体" w:hAnsi="楷体" w:eastAsia="楷体" w:cs="楷体"/>
          <w:sz w:val="21"/>
          <w:u w:val="none"/>
        </w:rPr>
        <w:t>（二）理财产品终止与清算</w:t>
      </w:r>
      <w:bookmarkEnd w:id="23"/>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1.为避免疑义，理财产品除因本条以下所列理财产品终止事件而终止外，投资者不得提议要求提前终止理财产品。</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（1）理财产品必须终止的事件：</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a.发生不可抗力事件导致理财产品不能存续；</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b.理财产品被法院或仲裁机构依法撤销、被认定为无效或被判决、裁定终止或被监管机构要求终止的；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c.理财产品预计到期日届至且未延期的；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d.理财产品延期期限届至且未再次延期，或出现适用法律规定应当终止理财产品的情形。</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（2）理财产品管理人有权单方决定是否终止的事件：</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a.理财存续期内，理财产品连续10个工作日总份额低于1亿份；</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b.如遇国家金融政策出现重大调整或宏观经济形势发生重大变化并影响到本理财产品的正常运作；</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c.本理财产品投向的金融资产所涉相关主体信用恶化，市场利率大幅下滑；</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d.为保护投资者利益，理财产品投向的信托计划、资管计划等提前终止；</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e.为保护投资者利益，管理人有合理理由认为将影响本理财产品正常运作的其他情形。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rPr>
        <w:t>.理财产品不因投资者死亡、丧失民事行为能力、破产而终止；投资者的法定继承人、承继人或指定受益人以及继任管理人承担本理财产品销售文件项下的相应权利和义务。</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rPr>
        <w:t>.如理财产品终止，除理财产品必须终止的事件第</w:t>
      </w:r>
      <w:r>
        <w:rPr>
          <w:rFonts w:hint="eastAsia" w:ascii="楷体" w:hAnsi="楷体" w:eastAsia="楷体" w:cs="楷体"/>
          <w:b w:val="0"/>
          <w:bCs w:val="0"/>
          <w:szCs w:val="21"/>
          <w:u w:val="none"/>
          <w:lang w:val="en-US" w:eastAsia="zh-CN"/>
        </w:rPr>
        <w:t>c</w:t>
      </w:r>
      <w:r>
        <w:rPr>
          <w:rFonts w:hint="eastAsia" w:ascii="楷体" w:hAnsi="楷体" w:eastAsia="楷体" w:cs="楷体"/>
          <w:b w:val="0"/>
          <w:bCs w:val="0"/>
          <w:szCs w:val="21"/>
          <w:u w:val="none"/>
        </w:rPr>
        <w:t>项及第</w:t>
      </w:r>
      <w:r>
        <w:rPr>
          <w:rFonts w:hint="eastAsia" w:ascii="楷体" w:hAnsi="楷体" w:eastAsia="楷体" w:cs="楷体"/>
          <w:b w:val="0"/>
          <w:bCs w:val="0"/>
          <w:szCs w:val="21"/>
          <w:u w:val="none"/>
          <w:lang w:val="en-US" w:eastAsia="zh-CN"/>
        </w:rPr>
        <w:t>d</w:t>
      </w:r>
      <w:r>
        <w:rPr>
          <w:rFonts w:hint="eastAsia" w:ascii="楷体" w:hAnsi="楷体" w:eastAsia="楷体" w:cs="楷体"/>
          <w:b w:val="0"/>
          <w:bCs w:val="0"/>
          <w:szCs w:val="21"/>
          <w:u w:val="none"/>
        </w:rPr>
        <w:t>项之外，理财产品管理人应提前2个工作日通过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“信息披露”约定的方式，向投资者披露，并披露理财产品终止之日。</w:t>
      </w:r>
    </w:p>
    <w:p>
      <w:p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szCs w:val="21"/>
          <w:u w:val="none"/>
          <w:lang w:val="en-US" w:eastAsia="zh-CN"/>
        </w:rPr>
        <w:t>4</w:t>
      </w:r>
      <w:r>
        <w:rPr>
          <w:rFonts w:hint="eastAsia" w:ascii="楷体" w:hAnsi="楷体" w:eastAsia="楷体" w:cs="楷体"/>
          <w:b w:val="0"/>
          <w:bCs w:val="0"/>
          <w:szCs w:val="21"/>
          <w:u w:val="none"/>
        </w:rPr>
        <w:t>.理财产品终止后，理财产品管理人将根据届时适用法律规定和监管机构的指引、要求及/或管理人的规定以及本理财产品销售文件的约定对本理财产品进行清算。理财资产清算后扣除理财相关费用、缴纳所欠税款并清偿理财产品负债后，理财利益按投资者持有的理财产品份额比例进行分配。清算期原则上不得超过5个工作日，清算期超过5个工作日的，将</w:t>
      </w:r>
      <w:r>
        <w:rPr>
          <w:rFonts w:hint="eastAsia" w:ascii="楷体" w:hAnsi="楷体" w:eastAsia="楷体" w:cs="楷体"/>
          <w:b w:val="0"/>
          <w:bCs w:val="0"/>
          <w:szCs w:val="21"/>
          <w:u w:val="none"/>
          <w:lang w:val="en-US" w:eastAsia="zh-CN"/>
        </w:rPr>
        <w:t>通过</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“信息披露”约定的方式向投资者披露。</w:t>
      </w:r>
    </w:p>
    <w:p>
      <w:pPr>
        <w:pStyle w:val="2"/>
        <w:rPr>
          <w:rFonts w:hint="eastAsia" w:ascii="楷体" w:hAnsi="楷体" w:eastAsia="楷体" w:cs="楷体"/>
          <w:sz w:val="28"/>
          <w:szCs w:val="28"/>
        </w:rPr>
      </w:pPr>
      <w:bookmarkStart w:id="24" w:name="_Toc98680989"/>
      <w:bookmarkStart w:id="25" w:name="_Toc98680990"/>
      <w:r>
        <w:rPr>
          <w:rFonts w:hint="eastAsia" w:ascii="楷体" w:hAnsi="楷体" w:eastAsia="楷体"/>
          <w:sz w:val="28"/>
          <w:szCs w:val="28"/>
        </w:rPr>
        <w:t>十、</w:t>
      </w:r>
      <w:r>
        <w:rPr>
          <w:rFonts w:hint="eastAsia" w:ascii="楷体" w:hAnsi="楷体" w:eastAsia="楷体" w:cs="楷体"/>
          <w:sz w:val="28"/>
          <w:szCs w:val="28"/>
        </w:rPr>
        <w:t>信息披露</w:t>
      </w:r>
      <w:bookmarkEnd w:id="24"/>
    </w:p>
    <w:p>
      <w:pPr>
        <w:pStyle w:val="3"/>
        <w:spacing w:before="0" w:after="0" w:line="360" w:lineRule="auto"/>
        <w:ind w:firstLine="422" w:firstLineChars="200"/>
        <w:rPr>
          <w:rFonts w:hint="eastAsia" w:ascii="楷体" w:hAnsi="楷体" w:eastAsia="楷体" w:cs="楷体"/>
          <w:b/>
          <w:bCs/>
          <w:sz w:val="21"/>
          <w:szCs w:val="32"/>
          <w:u w:val="none"/>
          <w:lang w:val="en-US" w:eastAsia="zh-CN"/>
        </w:rPr>
      </w:pPr>
      <w:r>
        <w:rPr>
          <w:rFonts w:hint="eastAsia" w:ascii="楷体" w:hAnsi="楷体" w:eastAsia="楷体" w:cs="楷体"/>
          <w:sz w:val="21"/>
          <w:u w:val="none"/>
        </w:rPr>
        <w:t>（一）信息披露的渠道</w:t>
      </w:r>
    </w:p>
    <w:p>
      <w:pPr>
        <w:spacing w:line="360" w:lineRule="auto"/>
        <w:ind w:firstLine="422" w:firstLineChars="200"/>
        <w:contextualSpacing/>
        <w:rPr>
          <w:rFonts w:hint="eastAsia" w:ascii="楷体" w:hAnsi="楷体" w:eastAsia="楷体" w:cs="楷体"/>
          <w:b/>
          <w:bCs/>
          <w:szCs w:val="21"/>
          <w:highlight w:val="none"/>
          <w:u w:val="none"/>
        </w:rPr>
      </w:pPr>
      <w:r>
        <w:rPr>
          <w:rFonts w:hint="eastAsia" w:ascii="楷体" w:hAnsi="楷体" w:eastAsia="楷体" w:cs="楷体"/>
          <w:b/>
          <w:bCs/>
          <w:szCs w:val="21"/>
          <w:highlight w:val="none"/>
          <w:u w:val="none"/>
          <w:lang w:val="en-US" w:eastAsia="zh-CN"/>
        </w:rPr>
        <w:t>1.</w:t>
      </w:r>
      <w:r>
        <w:rPr>
          <w:rFonts w:hint="eastAsia" w:ascii="楷体" w:hAnsi="楷体" w:eastAsia="楷体" w:cs="楷体"/>
          <w:b/>
          <w:bCs/>
          <w:szCs w:val="21"/>
          <w:highlight w:val="none"/>
          <w:u w:val="none"/>
        </w:rPr>
        <w:t>本理财</w:t>
      </w:r>
      <w:r>
        <w:rPr>
          <w:rFonts w:hint="eastAsia" w:ascii="楷体" w:hAnsi="楷体" w:eastAsia="楷体" w:cs="楷体"/>
          <w:b/>
          <w:bCs/>
          <w:szCs w:val="21"/>
          <w:highlight w:val="none"/>
          <w:u w:val="none"/>
          <w:lang w:val="en-US" w:eastAsia="zh-CN"/>
        </w:rPr>
        <w:t>产品认购期和</w:t>
      </w:r>
      <w:r>
        <w:rPr>
          <w:rFonts w:hint="eastAsia" w:ascii="楷体" w:hAnsi="楷体" w:eastAsia="楷体" w:cs="楷体"/>
          <w:b/>
          <w:bCs/>
          <w:szCs w:val="21"/>
          <w:highlight w:val="none"/>
          <w:u w:val="none"/>
        </w:rPr>
        <w:t>存续期间，</w:t>
      </w:r>
      <w:r>
        <w:rPr>
          <w:rFonts w:hint="eastAsia" w:ascii="楷体" w:hAnsi="楷体" w:eastAsia="楷体" w:cs="楷体"/>
          <w:b/>
          <w:bCs/>
          <w:szCs w:val="21"/>
          <w:highlight w:val="none"/>
          <w:u w:val="none"/>
          <w:lang w:val="en-US" w:eastAsia="zh-CN"/>
        </w:rPr>
        <w:t>将通过产品管理人官方网站（www.boscwm.cn）或</w:t>
      </w:r>
      <w:r>
        <w:rPr>
          <w:rFonts w:hint="eastAsia" w:ascii="楷体" w:hAnsi="楷体" w:eastAsia="楷体" w:cs="楷体"/>
          <w:b/>
          <w:bCs/>
          <w:szCs w:val="21"/>
          <w:highlight w:val="none"/>
          <w:u w:val="none"/>
        </w:rPr>
        <w:t>销售机构的信息披露渠道（包括但不限于销售机构的营业网点、门户网站、电子销售渠道等）</w:t>
      </w:r>
      <w:r>
        <w:rPr>
          <w:rFonts w:hint="eastAsia" w:ascii="楷体" w:hAnsi="楷体" w:eastAsia="楷体" w:cs="楷体"/>
          <w:b/>
          <w:bCs/>
          <w:szCs w:val="21"/>
          <w:highlight w:val="none"/>
          <w:u w:val="none"/>
          <w:lang w:val="en-US" w:eastAsia="zh-CN"/>
        </w:rPr>
        <w:t>进行</w:t>
      </w:r>
      <w:r>
        <w:rPr>
          <w:rFonts w:hint="eastAsia" w:ascii="楷体" w:hAnsi="楷体" w:eastAsia="楷体" w:cs="楷体"/>
          <w:b/>
          <w:bCs/>
          <w:szCs w:val="21"/>
          <w:highlight w:val="none"/>
          <w:u w:val="none"/>
        </w:rPr>
        <w:t>本理财</w:t>
      </w:r>
      <w:r>
        <w:rPr>
          <w:rFonts w:hint="eastAsia" w:ascii="楷体" w:hAnsi="楷体" w:eastAsia="楷体" w:cs="楷体"/>
          <w:b/>
          <w:bCs/>
          <w:szCs w:val="21"/>
          <w:highlight w:val="none"/>
          <w:u w:val="none"/>
          <w:lang w:val="en-US" w:eastAsia="zh-CN"/>
        </w:rPr>
        <w:t>产品</w:t>
      </w:r>
      <w:r>
        <w:rPr>
          <w:rFonts w:hint="eastAsia" w:ascii="楷体" w:hAnsi="楷体" w:eastAsia="楷体" w:cs="楷体"/>
          <w:b/>
          <w:bCs/>
          <w:szCs w:val="21"/>
          <w:highlight w:val="none"/>
          <w:u w:val="none"/>
        </w:rPr>
        <w:t>的信息披露。</w:t>
      </w:r>
    </w:p>
    <w:p>
      <w:pPr>
        <w:spacing w:line="360" w:lineRule="auto"/>
        <w:ind w:firstLine="422" w:firstLineChars="200"/>
        <w:contextualSpacing/>
        <w:rPr>
          <w:rFonts w:hint="eastAsia" w:ascii="楷体" w:hAnsi="楷体" w:eastAsia="楷体" w:cs="楷体"/>
          <w:b w:val="0"/>
          <w:bCs w:val="0"/>
          <w:szCs w:val="21"/>
          <w:highlight w:val="none"/>
          <w:u w:val="none"/>
        </w:rPr>
      </w:pPr>
      <w:r>
        <w:rPr>
          <w:rFonts w:hint="eastAsia" w:ascii="楷体" w:hAnsi="楷体" w:eastAsia="楷体" w:cs="楷体"/>
          <w:b/>
          <w:bCs/>
          <w:szCs w:val="21"/>
          <w:highlight w:val="none"/>
          <w:u w:val="none"/>
          <w:lang w:val="en-US" w:eastAsia="zh-CN"/>
        </w:rPr>
        <w:t>2.</w:t>
      </w:r>
      <w:r>
        <w:rPr>
          <w:rFonts w:hint="eastAsia" w:ascii="楷体" w:hAnsi="楷体" w:eastAsia="楷体" w:cs="楷体"/>
          <w:b/>
          <w:bCs/>
          <w:szCs w:val="21"/>
          <w:highlight w:val="none"/>
          <w:u w:val="none"/>
        </w:rPr>
        <w:t>产品管理人通过信息披露渠道发布理财产品有关信息，即视为已适当履行其信息披露义务。</w:t>
      </w:r>
      <w:r>
        <w:rPr>
          <w:rFonts w:hint="eastAsia" w:ascii="楷体" w:hAnsi="楷体" w:eastAsia="楷体" w:cs="楷体"/>
          <w:b w:val="0"/>
          <w:bCs w:val="0"/>
          <w:szCs w:val="21"/>
          <w:highlight w:val="none"/>
          <w:u w:val="none"/>
        </w:rPr>
        <w:t>如产品管理人认为需要直接联系投资者的，将依据本说明书投资者信息中投资者预留的信息进行通知。</w:t>
      </w:r>
    </w:p>
    <w:p>
      <w:pPr>
        <w:spacing w:line="360" w:lineRule="auto"/>
        <w:ind w:firstLine="422" w:firstLineChars="200"/>
        <w:contextualSpacing/>
        <w:rPr>
          <w:rFonts w:hint="eastAsia" w:ascii="楷体" w:hAnsi="楷体" w:eastAsia="楷体" w:cs="楷体"/>
          <w:b w:val="0"/>
          <w:bCs w:val="0"/>
          <w:szCs w:val="21"/>
          <w:u w:val="none"/>
        </w:rPr>
      </w:pPr>
      <w:r>
        <w:rPr>
          <w:rFonts w:hint="eastAsia" w:ascii="楷体" w:hAnsi="楷体" w:eastAsia="楷体" w:cs="楷体"/>
          <w:b/>
          <w:bCs/>
          <w:szCs w:val="21"/>
          <w:u w:val="none"/>
          <w:lang w:val="en-US" w:eastAsia="zh-CN"/>
        </w:rPr>
        <w:t>3.</w:t>
      </w:r>
      <w:r>
        <w:rPr>
          <w:rFonts w:hint="eastAsia" w:ascii="楷体" w:hAnsi="楷体" w:eastAsia="楷体" w:cs="楷体"/>
          <w:b/>
          <w:bCs/>
          <w:szCs w:val="21"/>
          <w:u w:val="none"/>
        </w:rPr>
        <w:t>投资者应定期通过约定的相关渠道获知有关本理财产品相关信息。以上相关信息自披露之日即视为已送达投资者，也视为产品管理人已适当披露代销理财产品相关信息。投资者承诺将及时接收、浏览和阅读该等信息。</w:t>
      </w:r>
      <w:r>
        <w:rPr>
          <w:rFonts w:hint="eastAsia" w:ascii="楷体" w:hAnsi="楷体" w:eastAsia="楷体" w:cs="楷体"/>
          <w:b w:val="0"/>
          <w:bCs w:val="0"/>
          <w:szCs w:val="21"/>
          <w:u w:val="none"/>
        </w:rPr>
        <w:t>如投资者对本产品的运作状况有任何疑问，可向产品管理人或销售机构进行咨询。</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4.在保障投资者知情权的前提下，产品管理人保留变更信息披露渠道的权利。</w:t>
      </w:r>
    </w:p>
    <w:bookmarkEnd w:id="25"/>
    <w:p>
      <w:pPr>
        <w:pStyle w:val="3"/>
        <w:spacing w:before="0" w:after="0" w:line="360" w:lineRule="auto"/>
        <w:ind w:firstLine="422" w:firstLineChars="200"/>
        <w:rPr>
          <w:rFonts w:hint="eastAsia" w:ascii="楷体" w:hAnsi="楷体" w:eastAsia="楷体" w:cs="楷体"/>
          <w:sz w:val="21"/>
          <w:u w:val="none"/>
        </w:rPr>
      </w:pPr>
      <w:bookmarkStart w:id="26" w:name="_Toc98680991"/>
      <w:r>
        <w:rPr>
          <w:rFonts w:hint="eastAsia" w:ascii="楷体" w:hAnsi="楷体" w:eastAsia="楷体" w:cs="楷体"/>
          <w:sz w:val="21"/>
          <w:u w:val="none"/>
        </w:rPr>
        <w:t>（二）信息披露的内容和时间</w:t>
      </w:r>
      <w:bookmarkEnd w:id="26"/>
    </w:p>
    <w:p>
      <w:p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szCs w:val="21"/>
          <w:u w:val="none"/>
        </w:rPr>
        <w:t>1.理财产品发行公告</w:t>
      </w:r>
    </w:p>
    <w:p>
      <w:pPr>
        <w:spacing w:line="360" w:lineRule="auto"/>
        <w:ind w:firstLine="420" w:firstLineChars="200"/>
        <w:contextualSpacing/>
        <w:rPr>
          <w:rFonts w:hint="eastAsia" w:ascii="楷体" w:hAnsi="楷体" w:eastAsia="楷体" w:cs="楷体"/>
          <w:b w:val="0"/>
          <w:bCs w:val="0"/>
          <w:color w:val="auto"/>
          <w:szCs w:val="21"/>
          <w:u w:val="none"/>
          <w:lang w:val="en-US" w:eastAsia="zh-CN"/>
        </w:rPr>
      </w:pPr>
      <w:r>
        <w:rPr>
          <w:rFonts w:hint="eastAsia" w:ascii="楷体" w:hAnsi="楷体" w:eastAsia="楷体" w:cs="楷体"/>
          <w:b w:val="0"/>
          <w:bCs w:val="0"/>
          <w:szCs w:val="21"/>
          <w:u w:val="none"/>
        </w:rPr>
        <w:t>管理人将在理财产品成立之后5个工作日内披露发行公告，包括理财产品成立日期和募集规模等信息。若募集期新出台的法律、法规导致本理财产品不适宜成立运行，或理财产品认购总金额未达到认购规模下限，</w:t>
      </w:r>
      <w:r>
        <w:rPr>
          <w:rFonts w:hint="eastAsia" w:ascii="楷体" w:hAnsi="楷体" w:eastAsia="楷体" w:cs="楷体"/>
          <w:b w:val="0"/>
          <w:bCs w:val="0"/>
          <w:color w:val="auto"/>
          <w:szCs w:val="21"/>
          <w:u w:val="none"/>
        </w:rPr>
        <w:t>或出现其他</w:t>
      </w:r>
      <w:r>
        <w:rPr>
          <w:rFonts w:hint="eastAsia" w:ascii="楷体" w:hAnsi="楷体" w:eastAsia="楷体" w:cs="楷体"/>
          <w:b w:val="0"/>
          <w:bCs w:val="0"/>
          <w:color w:val="auto"/>
          <w:szCs w:val="21"/>
          <w:u w:val="none"/>
          <w:lang w:val="en-US" w:eastAsia="zh-CN"/>
        </w:rPr>
        <w:t>影响</w:t>
      </w:r>
      <w:r>
        <w:rPr>
          <w:rFonts w:hint="eastAsia" w:ascii="楷体" w:hAnsi="楷体" w:eastAsia="楷体" w:cs="楷体"/>
          <w:b w:val="0"/>
          <w:bCs w:val="0"/>
          <w:color w:val="auto"/>
          <w:szCs w:val="21"/>
          <w:u w:val="none"/>
        </w:rPr>
        <w:t>理财产品正常运作的情况，则理财产品管理人有权宣布本理财产品不能成立，并在理财产品不能成立的2个工作日内披露。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2.理财产品定期报告</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理财产品管理人将在每个季度结束之日起15个工作日内、每个上半年结束之日起60个工作日内、每个年度结束之日起90个工作日内，向投资者披露季度、半年和年度报告等定期报告。理财产品成立不足90个工作日或者剩余存续期不超过90个工作日的，管理人可以不编制理财产品当期的季度、半年和年度报告。</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3.理财产品临时性信息披露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1</w:t>
      </w: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产品存续期间，对于提高收费标准、增加收费项目等事项，管理人将提前3个月以临时公告形式向投资者进行信息披露。</w:t>
      </w:r>
    </w:p>
    <w:p>
      <w:p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lang w:val="en-US" w:eastAsia="zh-CN"/>
        </w:rPr>
        <w:t>2</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在产品存续期间，管理人可以提前</w:t>
      </w:r>
      <w:r>
        <w:rPr>
          <w:rFonts w:hint="eastAsia" w:ascii="楷体" w:hAnsi="楷体" w:eastAsia="楷体" w:cs="楷体"/>
          <w:b w:val="0"/>
          <w:bCs w:val="0"/>
          <w:color w:val="auto"/>
          <w:szCs w:val="21"/>
          <w:u w:val="none"/>
          <w:lang w:val="en-US" w:eastAsia="zh-CN"/>
        </w:rPr>
        <w:t>2</w:t>
      </w:r>
      <w:r>
        <w:rPr>
          <w:rFonts w:hint="eastAsia" w:ascii="楷体" w:hAnsi="楷体" w:eastAsia="楷体" w:cs="楷体"/>
          <w:b w:val="0"/>
          <w:bCs w:val="0"/>
          <w:color w:val="auto"/>
          <w:szCs w:val="21"/>
          <w:u w:val="none"/>
        </w:rPr>
        <w:t>个工作日</w:t>
      </w:r>
      <w:r>
        <w:rPr>
          <w:rFonts w:hint="eastAsia" w:ascii="楷体" w:hAnsi="楷体" w:eastAsia="楷体" w:cs="楷体"/>
          <w:b w:val="0"/>
          <w:bCs w:val="0"/>
          <w:color w:val="auto"/>
          <w:szCs w:val="21"/>
          <w:u w:val="none"/>
          <w:lang w:val="en-US" w:eastAsia="zh-CN"/>
        </w:rPr>
        <w:t>通过约定的信息披露渠道</w:t>
      </w:r>
      <w:r>
        <w:rPr>
          <w:rFonts w:hint="eastAsia" w:ascii="楷体" w:hAnsi="楷体" w:eastAsia="楷体" w:cs="楷体"/>
          <w:b w:val="0"/>
          <w:bCs w:val="0"/>
          <w:color w:val="auto"/>
          <w:szCs w:val="21"/>
          <w:u w:val="none"/>
        </w:rPr>
        <w:t>进行信息披露，</w:t>
      </w:r>
      <w:r>
        <w:rPr>
          <w:rFonts w:hint="eastAsia" w:ascii="楷体" w:hAnsi="楷体" w:eastAsia="楷体" w:cs="楷体"/>
          <w:b w:val="0"/>
          <w:bCs w:val="0"/>
          <w:color w:val="auto"/>
          <w:szCs w:val="21"/>
          <w:u w:val="none"/>
          <w:lang w:val="en-US" w:eastAsia="zh-CN"/>
        </w:rPr>
        <w:t>根据市场情况</w:t>
      </w:r>
      <w:r>
        <w:rPr>
          <w:rFonts w:hint="eastAsia" w:ascii="楷体" w:hAnsi="楷体" w:eastAsia="楷体" w:cs="楷体"/>
          <w:b w:val="0"/>
          <w:bCs w:val="0"/>
          <w:color w:val="auto"/>
          <w:szCs w:val="21"/>
          <w:u w:val="none"/>
        </w:rPr>
        <w:t>对理财产品投资范围、投资</w:t>
      </w:r>
      <w:r>
        <w:rPr>
          <w:rFonts w:hint="eastAsia" w:ascii="楷体" w:hAnsi="楷体" w:eastAsia="楷体" w:cs="楷体"/>
          <w:b w:val="0"/>
          <w:bCs w:val="0"/>
          <w:color w:val="auto"/>
          <w:szCs w:val="21"/>
          <w:u w:val="none"/>
          <w:lang w:val="en-US" w:eastAsia="zh-CN"/>
        </w:rPr>
        <w:t>资产种类</w:t>
      </w:r>
      <w:r>
        <w:rPr>
          <w:rFonts w:hint="eastAsia" w:ascii="楷体" w:hAnsi="楷体" w:eastAsia="楷体" w:cs="楷体"/>
          <w:b w:val="0"/>
          <w:bCs w:val="0"/>
          <w:color w:val="auto"/>
          <w:szCs w:val="21"/>
          <w:u w:val="none"/>
        </w:rPr>
        <w:t>或</w:t>
      </w:r>
      <w:r>
        <w:rPr>
          <w:rFonts w:hint="eastAsia" w:ascii="楷体" w:hAnsi="楷体" w:eastAsia="楷体" w:cs="楷体"/>
          <w:b w:val="0"/>
          <w:bCs w:val="0"/>
          <w:color w:val="auto"/>
          <w:szCs w:val="21"/>
          <w:u w:val="none"/>
          <w:lang w:val="en-US" w:eastAsia="zh-CN"/>
        </w:rPr>
        <w:t>投资</w:t>
      </w:r>
      <w:r>
        <w:rPr>
          <w:rFonts w:hint="eastAsia" w:ascii="楷体" w:hAnsi="楷体" w:eastAsia="楷体" w:cs="楷体"/>
          <w:b w:val="0"/>
          <w:bCs w:val="0"/>
          <w:color w:val="auto"/>
          <w:szCs w:val="21"/>
          <w:u w:val="none"/>
        </w:rPr>
        <w:t>比例、</w:t>
      </w:r>
      <w:r>
        <w:rPr>
          <w:rFonts w:hint="eastAsia" w:ascii="楷体" w:hAnsi="楷体" w:eastAsia="楷体" w:cs="楷体"/>
          <w:b w:val="0"/>
          <w:bCs w:val="0"/>
          <w:color w:val="auto"/>
          <w:szCs w:val="21"/>
          <w:u w:val="none"/>
          <w:lang w:val="en-US" w:eastAsia="zh-CN"/>
        </w:rPr>
        <w:t>募集期</w:t>
      </w:r>
      <w:r>
        <w:rPr>
          <w:rFonts w:hint="eastAsia" w:ascii="楷体" w:hAnsi="楷体" w:eastAsia="楷体" w:cs="楷体"/>
          <w:b w:val="0"/>
          <w:bCs w:val="0"/>
          <w:color w:val="auto"/>
          <w:szCs w:val="21"/>
          <w:u w:val="none"/>
        </w:rPr>
        <w:t>延长</w:t>
      </w:r>
      <w:r>
        <w:rPr>
          <w:rFonts w:hint="eastAsia" w:ascii="楷体" w:hAnsi="楷体" w:eastAsia="楷体" w:cs="楷体"/>
          <w:b w:val="0"/>
          <w:bCs w:val="0"/>
          <w:color w:val="auto"/>
          <w:szCs w:val="21"/>
          <w:u w:val="none"/>
          <w:lang w:val="en-US" w:eastAsia="zh-CN"/>
        </w:rPr>
        <w:t>或提前结束募集</w:t>
      </w:r>
      <w:r>
        <w:rPr>
          <w:rFonts w:hint="eastAsia" w:ascii="楷体" w:hAnsi="楷体" w:eastAsia="楷体" w:cs="楷体"/>
          <w:b w:val="0"/>
          <w:bCs w:val="0"/>
          <w:color w:val="auto"/>
          <w:szCs w:val="21"/>
          <w:u w:val="none"/>
        </w:rPr>
        <w:t>、</w:t>
      </w:r>
      <w:r>
        <w:rPr>
          <w:rFonts w:hint="eastAsia" w:ascii="楷体" w:hAnsi="楷体" w:eastAsia="楷体" w:cs="楷体"/>
          <w:b w:val="0"/>
          <w:bCs w:val="0"/>
          <w:color w:val="auto"/>
          <w:szCs w:val="21"/>
          <w:u w:val="none"/>
          <w:lang w:val="en-US" w:eastAsia="zh-CN"/>
        </w:rPr>
        <w:t>已约定的收费项目、条件</w:t>
      </w:r>
      <w:r>
        <w:rPr>
          <w:rFonts w:hint="eastAsia" w:ascii="楷体" w:hAnsi="楷体" w:eastAsia="楷体" w:cs="楷体"/>
          <w:b w:val="0"/>
          <w:bCs w:val="0"/>
          <w:color w:val="auto"/>
          <w:szCs w:val="21"/>
          <w:u w:val="none"/>
          <w:lang w:eastAsia="zh-CN"/>
        </w:rPr>
        <w:t>、</w:t>
      </w:r>
      <w:r>
        <w:rPr>
          <w:rFonts w:hint="eastAsia" w:ascii="楷体" w:hAnsi="楷体" w:eastAsia="楷体" w:cs="楷体"/>
          <w:b w:val="0"/>
          <w:bCs w:val="0"/>
          <w:color w:val="auto"/>
          <w:szCs w:val="21"/>
          <w:u w:val="none"/>
        </w:rPr>
        <w:t>标准或计提方式、</w:t>
      </w:r>
      <w:r>
        <w:rPr>
          <w:rFonts w:hint="eastAsia" w:ascii="楷体" w:hAnsi="楷体" w:eastAsia="楷体" w:cs="楷体"/>
          <w:b w:val="0"/>
          <w:bCs w:val="0"/>
          <w:color w:val="auto"/>
          <w:szCs w:val="21"/>
          <w:u w:val="none"/>
          <w:lang w:val="en-US" w:eastAsia="zh-CN"/>
        </w:rPr>
        <w:t>风险等级、交易结构、</w:t>
      </w:r>
      <w:r>
        <w:rPr>
          <w:rFonts w:hint="eastAsia" w:ascii="楷体" w:hAnsi="楷体" w:eastAsia="楷体" w:cs="楷体"/>
          <w:b w:val="0"/>
          <w:bCs w:val="0"/>
          <w:color w:val="auto"/>
          <w:szCs w:val="21"/>
          <w:u w:val="none"/>
        </w:rPr>
        <w:t>规模上限</w:t>
      </w:r>
      <w:r>
        <w:rPr>
          <w:rFonts w:hint="eastAsia" w:ascii="楷体" w:hAnsi="楷体" w:eastAsia="楷体" w:cs="楷体"/>
          <w:b w:val="0"/>
          <w:bCs w:val="0"/>
          <w:color w:val="auto"/>
          <w:szCs w:val="21"/>
          <w:u w:val="none"/>
          <w:lang w:val="en-US" w:eastAsia="zh-CN"/>
        </w:rPr>
        <w:t>或下限、申购赎回约定、投资起点金额、追加投资金额</w:t>
      </w:r>
      <w:r>
        <w:rPr>
          <w:rFonts w:hint="eastAsia" w:ascii="楷体" w:hAnsi="楷体" w:eastAsia="楷体" w:cs="楷体"/>
          <w:b w:val="0"/>
          <w:bCs w:val="0"/>
          <w:color w:val="auto"/>
          <w:szCs w:val="21"/>
          <w:u w:val="none"/>
        </w:rPr>
        <w:t>或其他经管理人判断可能对理财产品份额持有人权益产生影响的条款进行补充、说明和修改。</w:t>
      </w:r>
    </w:p>
    <w:p>
      <w:pPr>
        <w:spacing w:line="360" w:lineRule="auto"/>
        <w:ind w:firstLine="420" w:firstLineChars="200"/>
        <w:contextualSpacing/>
        <w:rPr>
          <w:rFonts w:hint="eastAsia" w:ascii="楷体" w:hAnsi="楷体" w:eastAsia="楷体" w:cs="楷体"/>
          <w:u w:val="none"/>
        </w:rPr>
      </w:pPr>
      <w:r>
        <w:rPr>
          <w:rFonts w:hint="eastAsia" w:ascii="楷体" w:hAnsi="楷体" w:eastAsia="楷体" w:cs="楷体"/>
          <w:b w:val="0"/>
          <w:bCs w:val="0"/>
          <w:szCs w:val="21"/>
          <w:u w:val="none"/>
        </w:rPr>
        <w:t>其中，涉及投资范围、投资品种、投资比例调整导致其超出销售文件约定比例的，除超出比例投资比本理财产品风险更低的资产外，需取得投资者书面同意。</w:t>
      </w:r>
      <w:r>
        <w:rPr>
          <w:rFonts w:hint="eastAsia" w:ascii="楷体" w:hAnsi="楷体" w:eastAsia="楷体" w:cs="楷体"/>
          <w:b/>
          <w:bCs/>
          <w:szCs w:val="21"/>
          <w:u w:val="none"/>
        </w:rPr>
        <w:t>对于投资者利益产生实质影响的事项（如对投资范围、投资品种、投资比例进行调整，但因国家法律法规、监管规定发生变化导致的除外），投资者如不同意相关调整的，可在管理人披露的相关调整生效前赎回本理财产品（此种情况下管理人将可能在赎回开放日外单独开放特殊赎回期间，具体以届时管理人的公告为准），</w:t>
      </w:r>
      <w:r>
        <w:rPr>
          <w:rFonts w:hint="eastAsia" w:ascii="楷体" w:hAnsi="楷体" w:eastAsia="楷体" w:cs="楷体"/>
          <w:b w:val="0"/>
          <w:bCs w:val="0"/>
          <w:szCs w:val="21"/>
          <w:u w:val="none"/>
        </w:rPr>
        <w:t>投资者本金和收益（如有）将在赎回确认日后10个工作日内通过销售机构划转至投资者账户。</w:t>
      </w:r>
      <w:r>
        <w:rPr>
          <w:rFonts w:hint="eastAsia" w:ascii="楷体" w:hAnsi="楷体" w:eastAsia="楷体" w:cs="楷体"/>
          <w:b/>
          <w:bCs/>
          <w:szCs w:val="21"/>
          <w:u w:val="none"/>
        </w:rPr>
        <w:t>逾期未赎回的视为投资者书面同意相关调整并继续持有本理财产品。</w:t>
      </w:r>
    </w:p>
    <w:p>
      <w:p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3</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在产品存续期间，若金融市场发生重大变化导致理财产品投资比例暂时超出浮动区间且可能对理财产品收益产生重大影响或理财产品持有的单笔资产发生信用风险时间且对理财产品投资收益产生较大影响时，在发生涉及理财产品认（申）购、赎回事项调整或潜在影响投资者赎回等事项时，管理人应于3个工作日内向投资者进行信息披露。</w:t>
      </w:r>
    </w:p>
    <w:p>
      <w:pPr>
        <w:numPr>
          <w:ilvl w:val="12"/>
          <w:numId w:val="0"/>
        </w:num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4</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在管理人运用</w:t>
      </w:r>
      <w:r>
        <w:rPr>
          <w:rFonts w:hint="eastAsia" w:ascii="楷体" w:hAnsi="楷体" w:eastAsia="楷体" w:cs="楷体"/>
          <w:b w:val="0"/>
          <w:bCs w:val="0"/>
          <w:color w:val="auto"/>
          <w:szCs w:val="21"/>
          <w:u w:val="none"/>
        </w:rPr>
        <w:t>收取短期赎回费（如有）、摆动定价机制、暂</w:t>
      </w:r>
      <w:r>
        <w:rPr>
          <w:rFonts w:hint="eastAsia" w:ascii="楷体" w:hAnsi="楷体" w:eastAsia="楷体" w:cs="楷体"/>
          <w:b w:val="0"/>
          <w:bCs w:val="0"/>
          <w:szCs w:val="21"/>
          <w:u w:val="none"/>
        </w:rPr>
        <w:t>停认/申购、延期办理</w:t>
      </w:r>
      <w:r>
        <w:rPr>
          <w:rFonts w:hint="eastAsia" w:ascii="楷体" w:hAnsi="楷体" w:eastAsia="楷体" w:cs="楷体"/>
          <w:b w:val="0"/>
          <w:bCs w:val="0"/>
          <w:szCs w:val="21"/>
          <w:u w:val="none"/>
          <w:lang w:val="en-US" w:eastAsia="zh-CN"/>
        </w:rPr>
        <w:t>巨额</w:t>
      </w:r>
      <w:r>
        <w:rPr>
          <w:rFonts w:hint="eastAsia" w:ascii="楷体" w:hAnsi="楷体" w:eastAsia="楷体" w:cs="楷体"/>
          <w:b w:val="0"/>
          <w:bCs w:val="0"/>
          <w:szCs w:val="21"/>
          <w:u w:val="none"/>
        </w:rPr>
        <w:t>赎回申请、暂停接受赎回申请、延缓支付赎回款项、暂停估值等措施后，应当通过本理财</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产品说明书</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信息披露</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约定的方式在3个交易日内告知该理财产品的投资者，并说明运用相关措施的原因、拟采取的应对安排等。</w:t>
      </w:r>
    </w:p>
    <w:p>
      <w:pPr>
        <w:numPr>
          <w:ilvl w:val="12"/>
          <w:numId w:val="0"/>
        </w:numPr>
        <w:spacing w:line="360" w:lineRule="auto"/>
        <w:ind w:firstLine="420" w:firstLineChars="200"/>
        <w:contextualSpacing/>
        <w:rPr>
          <w:rFonts w:hint="eastAsia" w:ascii="楷体" w:hAnsi="楷体" w:eastAsia="楷体" w:cs="楷体"/>
          <w:b w:val="0"/>
          <w:bCs w:val="0"/>
          <w:szCs w:val="21"/>
          <w:u w:val="none"/>
          <w:lang w:val="en-US" w:eastAsia="zh-CN"/>
        </w:rPr>
      </w:pPr>
      <w:r>
        <w:rPr>
          <w:rFonts w:hint="eastAsia" w:ascii="楷体" w:hAnsi="楷体" w:eastAsia="楷体" w:cs="楷体"/>
          <w:b w:val="0"/>
          <w:bCs w:val="0"/>
          <w:szCs w:val="21"/>
          <w:u w:val="none"/>
          <w:lang w:val="en-US" w:eastAsia="zh-CN"/>
        </w:rPr>
        <w:t>（5）理财产品清算期超过5个工作日的，产品管理人应当在理财产品终止前，根据与投资者的约定，在指定渠道向理财产品投资者进行披露。</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4.理财产品重大事项公告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理财产品存续期间，如果发生管理人认为可能影响产品运作的重大不利事项时，包括但不限于未按照本《产品说明书》约定分配收益；</w:t>
      </w:r>
      <w:r>
        <w:rPr>
          <w:rFonts w:hint="eastAsia" w:ascii="楷体" w:hAnsi="楷体" w:eastAsia="楷体" w:cs="楷体"/>
          <w:b w:val="0"/>
          <w:bCs w:val="0"/>
          <w:szCs w:val="21"/>
          <w:u w:val="none"/>
          <w:lang w:val="en-US" w:eastAsia="zh-CN"/>
        </w:rPr>
        <w:t>理财产品所投资资产发生重大损失；</w:t>
      </w:r>
      <w:r>
        <w:rPr>
          <w:rFonts w:hint="eastAsia" w:ascii="楷体" w:hAnsi="楷体" w:eastAsia="楷体" w:cs="楷体"/>
          <w:b w:val="0"/>
          <w:bCs w:val="0"/>
          <w:szCs w:val="21"/>
          <w:u w:val="none"/>
        </w:rPr>
        <w:t>理财产品管理人、托管人</w:t>
      </w:r>
      <w:r>
        <w:rPr>
          <w:rFonts w:hint="eastAsia" w:ascii="楷体" w:hAnsi="楷体" w:eastAsia="楷体" w:cs="楷体"/>
          <w:b w:val="0"/>
          <w:bCs w:val="0"/>
          <w:szCs w:val="21"/>
          <w:u w:val="none"/>
          <w:lang w:val="en-US" w:eastAsia="zh-CN"/>
        </w:rPr>
        <w:t>等出现</w:t>
      </w:r>
      <w:r>
        <w:rPr>
          <w:rFonts w:hint="eastAsia" w:ascii="楷体" w:hAnsi="楷体" w:eastAsia="楷体" w:cs="楷体"/>
          <w:b w:val="0"/>
          <w:bCs w:val="0"/>
          <w:szCs w:val="21"/>
          <w:u w:val="none"/>
        </w:rPr>
        <w:t>变更</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市场发生重大变化、投资的资产质量发生重大变化或者其它可能对投资者权益产生重大影响的突发事件等经管理人判断对理财投资价值有实质性影响的重大事件，管理人将在2个工作日内向投资者披露相关信息。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5.理财产品终止公告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管理人将在理财产品终止后的5个工作日内披露。终止公告的内容包括理财产品存续期限、终止日期、收费情况和收益分配情况等信息。</w:t>
      </w:r>
    </w:p>
    <w:p>
      <w:pPr>
        <w:numPr>
          <w:ilvl w:val="12"/>
          <w:numId w:val="0"/>
        </w:numPr>
        <w:spacing w:line="360" w:lineRule="auto"/>
        <w:ind w:firstLine="420" w:firstLineChars="200"/>
        <w:contextualSpacing/>
        <w:rPr>
          <w:rFonts w:hint="eastAsia" w:ascii="楷体" w:hAnsi="楷体" w:eastAsia="楷体" w:cs="楷体"/>
          <w:b w:val="0"/>
          <w:bCs w:val="0"/>
          <w:color w:val="auto"/>
          <w:szCs w:val="21"/>
          <w:u w:val="none"/>
        </w:rPr>
      </w:pPr>
      <w:r>
        <w:rPr>
          <w:rFonts w:hint="eastAsia" w:ascii="楷体" w:hAnsi="楷体" w:eastAsia="楷体" w:cs="楷体"/>
          <w:b w:val="0"/>
          <w:bCs w:val="0"/>
          <w:color w:val="auto"/>
          <w:szCs w:val="21"/>
          <w:u w:val="none"/>
          <w:lang w:val="en-US" w:eastAsia="zh-CN"/>
        </w:rPr>
        <w:t>6.</w:t>
      </w:r>
      <w:r>
        <w:rPr>
          <w:rFonts w:hint="eastAsia" w:ascii="楷体" w:hAnsi="楷体" w:eastAsia="楷体" w:cs="楷体"/>
          <w:b w:val="0"/>
          <w:bCs w:val="0"/>
          <w:color w:val="auto"/>
          <w:szCs w:val="21"/>
          <w:u w:val="none"/>
        </w:rPr>
        <w:t>所有产品披露以产品管理人完成信息发布时间为准，如遇渠道方系统故障等情况不影响披露时间效力。</w:t>
      </w:r>
    </w:p>
    <w:p>
      <w:pPr>
        <w:numPr>
          <w:ilvl w:val="12"/>
          <w:numId w:val="0"/>
        </w:numPr>
        <w:spacing w:line="360" w:lineRule="auto"/>
        <w:ind w:firstLine="422" w:firstLineChars="200"/>
        <w:contextualSpacing/>
        <w:rPr>
          <w:rFonts w:hint="eastAsia" w:ascii="楷体" w:hAnsi="楷体" w:eastAsia="楷体" w:cs="楷体"/>
          <w:b/>
          <w:bCs/>
          <w:color w:val="auto"/>
          <w:szCs w:val="21"/>
          <w:u w:val="none"/>
        </w:rPr>
      </w:pPr>
      <w:r>
        <w:rPr>
          <w:rFonts w:hint="eastAsia" w:ascii="楷体" w:hAnsi="楷体" w:eastAsia="楷体" w:cs="楷体"/>
          <w:b/>
          <w:bCs/>
          <w:color w:val="auto"/>
          <w:szCs w:val="21"/>
          <w:u w:val="none"/>
          <w:lang w:val="en-US" w:eastAsia="zh-CN"/>
        </w:rPr>
        <w:t>7.</w:t>
      </w:r>
      <w:r>
        <w:rPr>
          <w:rFonts w:hint="eastAsia" w:ascii="楷体" w:hAnsi="楷体" w:eastAsia="楷体" w:cs="楷体"/>
          <w:b/>
          <w:bCs/>
          <w:color w:val="auto"/>
          <w:szCs w:val="21"/>
          <w:u w:val="none"/>
        </w:rPr>
        <w:t>在本理财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存续期内，如出于维持本理财</w:t>
      </w:r>
      <w:r>
        <w:rPr>
          <w:rFonts w:hint="eastAsia" w:ascii="楷体" w:hAnsi="楷体" w:eastAsia="楷体" w:cs="楷体"/>
          <w:b/>
          <w:bCs/>
          <w:color w:val="auto"/>
          <w:szCs w:val="21"/>
          <w:u w:val="none"/>
          <w:lang w:val="en-US" w:eastAsia="zh-CN"/>
        </w:rPr>
        <w:t>产品</w:t>
      </w:r>
      <w:r>
        <w:rPr>
          <w:rFonts w:hint="eastAsia" w:ascii="楷体" w:hAnsi="楷体" w:eastAsia="楷体" w:cs="楷体"/>
          <w:b/>
          <w:bCs/>
          <w:color w:val="auto"/>
          <w:szCs w:val="21"/>
          <w:u w:val="none"/>
        </w:rPr>
        <w:t>正常运营的需要且在不损害投资者利益的前提下，或因国家法律法规、监管规定发生变化，管理人有权单方对本理财</w:t>
      </w:r>
      <w:r>
        <w:rPr>
          <w:rFonts w:hint="eastAsia" w:ascii="楷体" w:hAnsi="楷体" w:eastAsia="楷体" w:cs="楷体"/>
          <w:b/>
          <w:bCs/>
          <w:color w:val="auto"/>
          <w:szCs w:val="21"/>
          <w:u w:val="none"/>
          <w:lang w:val="en-US" w:eastAsia="zh-CN"/>
        </w:rPr>
        <w:t>产品合同</w:t>
      </w:r>
      <w:r>
        <w:rPr>
          <w:rFonts w:hint="eastAsia" w:ascii="楷体" w:hAnsi="楷体" w:eastAsia="楷体" w:cs="楷体"/>
          <w:b/>
          <w:bCs/>
          <w:color w:val="auto"/>
          <w:szCs w:val="21"/>
          <w:u w:val="none"/>
        </w:rPr>
        <w:t>进行修订。管理人决定对</w:t>
      </w:r>
      <w:r>
        <w:rPr>
          <w:rFonts w:hint="eastAsia" w:ascii="楷体" w:hAnsi="楷体" w:eastAsia="楷体" w:cs="楷体"/>
          <w:b/>
          <w:bCs/>
          <w:color w:val="auto"/>
          <w:szCs w:val="21"/>
          <w:u w:val="none"/>
          <w:lang w:val="en-US" w:eastAsia="zh-CN"/>
        </w:rPr>
        <w:t>理财</w:t>
      </w:r>
      <w:r>
        <w:rPr>
          <w:rFonts w:hint="eastAsia" w:ascii="楷体" w:hAnsi="楷体" w:eastAsia="楷体" w:cs="楷体"/>
          <w:b/>
          <w:bCs/>
          <w:color w:val="auto"/>
          <w:szCs w:val="21"/>
          <w:u w:val="none"/>
        </w:rPr>
        <w:t>产品</w:t>
      </w:r>
      <w:r>
        <w:rPr>
          <w:rFonts w:hint="eastAsia" w:ascii="楷体" w:hAnsi="楷体" w:eastAsia="楷体" w:cs="楷体"/>
          <w:b/>
          <w:bCs/>
          <w:color w:val="auto"/>
          <w:szCs w:val="21"/>
          <w:u w:val="none"/>
          <w:lang w:val="en-US" w:eastAsia="zh-CN"/>
        </w:rPr>
        <w:t>合同</w:t>
      </w:r>
      <w:r>
        <w:rPr>
          <w:rFonts w:hint="eastAsia" w:ascii="楷体" w:hAnsi="楷体" w:eastAsia="楷体" w:cs="楷体"/>
          <w:b/>
          <w:bCs/>
          <w:color w:val="auto"/>
          <w:szCs w:val="21"/>
          <w:u w:val="none"/>
        </w:rPr>
        <w:t>进行修订的，将提前</w:t>
      </w:r>
      <w:r>
        <w:rPr>
          <w:rFonts w:hint="eastAsia" w:ascii="楷体" w:hAnsi="楷体" w:eastAsia="楷体" w:cs="楷体"/>
          <w:b/>
          <w:bCs/>
          <w:color w:val="auto"/>
          <w:szCs w:val="21"/>
          <w:u w:val="none"/>
          <w:lang w:val="en-US" w:eastAsia="zh-CN"/>
        </w:rPr>
        <w:t>2</w:t>
      </w:r>
      <w:r>
        <w:rPr>
          <w:rFonts w:hint="eastAsia" w:ascii="楷体" w:hAnsi="楷体" w:eastAsia="楷体" w:cs="楷体"/>
          <w:b/>
          <w:bCs/>
          <w:color w:val="auto"/>
          <w:szCs w:val="21"/>
          <w:u w:val="none"/>
        </w:rPr>
        <w:t>个工作日通过</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信息披露</w:t>
      </w:r>
      <w:r>
        <w:rPr>
          <w:rFonts w:hint="eastAsia" w:ascii="楷体" w:hAnsi="楷体" w:eastAsia="楷体" w:cs="楷体"/>
          <w:b/>
          <w:bCs/>
          <w:color w:val="auto"/>
          <w:szCs w:val="21"/>
          <w:u w:val="none"/>
          <w:lang w:eastAsia="zh-CN"/>
        </w:rPr>
        <w:t>”</w:t>
      </w:r>
      <w:r>
        <w:rPr>
          <w:rFonts w:hint="eastAsia" w:ascii="楷体" w:hAnsi="楷体" w:eastAsia="楷体" w:cs="楷体"/>
          <w:b/>
          <w:bCs/>
          <w:color w:val="auto"/>
          <w:szCs w:val="21"/>
          <w:u w:val="none"/>
        </w:rPr>
        <w:t>章节约定的信息披露渠道发布相关信息公告通知投资者。修订后的</w:t>
      </w:r>
      <w:r>
        <w:rPr>
          <w:rFonts w:hint="eastAsia" w:ascii="楷体" w:hAnsi="楷体" w:eastAsia="楷体" w:cs="楷体"/>
          <w:b/>
          <w:bCs/>
          <w:color w:val="auto"/>
          <w:szCs w:val="21"/>
          <w:u w:val="none"/>
          <w:lang w:val="en-US" w:eastAsia="zh-CN"/>
        </w:rPr>
        <w:t>理财产品合同</w:t>
      </w:r>
      <w:r>
        <w:rPr>
          <w:rFonts w:hint="eastAsia" w:ascii="楷体" w:hAnsi="楷体" w:eastAsia="楷体" w:cs="楷体"/>
          <w:b/>
          <w:bCs/>
          <w:color w:val="auto"/>
          <w:szCs w:val="21"/>
          <w:u w:val="none"/>
        </w:rPr>
        <w:t>对投资者具有法律约束力。</w:t>
      </w:r>
    </w:p>
    <w:p>
      <w:pPr>
        <w:pStyle w:val="2"/>
        <w:spacing w:before="120" w:after="120" w:line="240" w:lineRule="auto"/>
        <w:rPr>
          <w:rFonts w:hint="eastAsia" w:ascii="楷体" w:hAnsi="楷体" w:eastAsia="楷体" w:cs="楷体"/>
          <w:sz w:val="28"/>
          <w:szCs w:val="28"/>
          <w:u w:val="none"/>
        </w:rPr>
      </w:pPr>
      <w:r>
        <w:rPr>
          <w:rFonts w:hint="eastAsia" w:ascii="楷体" w:hAnsi="楷体" w:eastAsia="楷体"/>
          <w:sz w:val="28"/>
          <w:szCs w:val="28"/>
          <w:u w:val="none"/>
        </w:rPr>
        <w:t>十</w:t>
      </w:r>
      <w:r>
        <w:rPr>
          <w:rFonts w:hint="eastAsia" w:ascii="楷体" w:hAnsi="楷体" w:eastAsia="楷体"/>
          <w:sz w:val="28"/>
          <w:szCs w:val="28"/>
          <w:u w:val="none"/>
          <w:lang w:val="en-US" w:eastAsia="zh-CN"/>
        </w:rPr>
        <w:t>一</w:t>
      </w:r>
      <w:r>
        <w:rPr>
          <w:rFonts w:ascii="楷体" w:hAnsi="楷体" w:eastAsia="楷体"/>
          <w:sz w:val="28"/>
          <w:szCs w:val="28"/>
          <w:u w:val="none"/>
        </w:rPr>
        <w:t>、</w:t>
      </w:r>
      <w:r>
        <w:rPr>
          <w:rFonts w:hint="eastAsia" w:ascii="楷体" w:hAnsi="楷体" w:eastAsia="楷体" w:cs="楷体"/>
          <w:sz w:val="28"/>
          <w:szCs w:val="28"/>
          <w:u w:val="none"/>
        </w:rPr>
        <w:t>保密原则</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理财产品管理人向投资者披露的或投资者因购买本理财产品而获知的有关本理财产品的全部信息（包括但不限于本理财产品销售文件、本理财产品投资安排的全部信息）及本理财产品参与主体的未对外公开的信息均为保密信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2.产品管理人应保密的投资人的保密信息包括不限于投资者身份证件、联系电话、产品持有份额等个人敏感信息。</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3.投资者、理财产品管理人有义务对上述保密信息采取保密措施，未经对方同意不得向任何第三方披露保密信息，否则应承担相应违约责任，但以下情形除外：</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（1）向与本次投资有关而需要获知以上信息并受保密协议约束的律师、会计师、顾问和咨询人员披露的；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（2）根据适用的法律法规和规章制度要求，向有关政府部门、监管机构或者管理机构（包括证券交易所）披露的；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（3）本《产品说明书》另有约定的。</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4.前述保密义务不因本理财产品销售文件或相关协议的无效、被撤销、终止、变更、中止、解除而受影响。</w:t>
      </w:r>
    </w:p>
    <w:p>
      <w:pPr>
        <w:pStyle w:val="2"/>
        <w:spacing w:before="120" w:after="120" w:line="240" w:lineRule="auto"/>
        <w:rPr>
          <w:rFonts w:hint="eastAsia" w:ascii="楷体" w:hAnsi="楷体" w:eastAsia="楷体" w:cs="楷体"/>
          <w:sz w:val="28"/>
          <w:szCs w:val="28"/>
        </w:rPr>
      </w:pPr>
      <w:bookmarkStart w:id="27" w:name="_Toc98680992"/>
      <w:r>
        <w:rPr>
          <w:rFonts w:hint="eastAsia" w:ascii="楷体" w:hAnsi="楷体" w:eastAsia="楷体"/>
          <w:sz w:val="28"/>
          <w:szCs w:val="28"/>
        </w:rPr>
        <w:t>十</w:t>
      </w:r>
      <w:r>
        <w:rPr>
          <w:rFonts w:hint="eastAsia" w:ascii="楷体" w:hAnsi="楷体" w:eastAsia="楷体"/>
          <w:sz w:val="28"/>
          <w:szCs w:val="28"/>
          <w:lang w:val="en-US" w:eastAsia="zh-CN"/>
        </w:rPr>
        <w:t>二</w:t>
      </w:r>
      <w:r>
        <w:rPr>
          <w:rFonts w:ascii="楷体" w:hAnsi="楷体" w:eastAsia="楷体"/>
          <w:sz w:val="28"/>
          <w:szCs w:val="28"/>
        </w:rPr>
        <w:t>、</w:t>
      </w:r>
      <w:r>
        <w:rPr>
          <w:rFonts w:hint="eastAsia" w:ascii="楷体" w:hAnsi="楷体" w:eastAsia="楷体" w:cs="楷体"/>
          <w:sz w:val="28"/>
          <w:szCs w:val="28"/>
        </w:rPr>
        <w:t>相关事项说明</w:t>
      </w:r>
      <w:bookmarkEnd w:id="27"/>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1.本理财产品中示例均采用假设数据，并不代表客户实际可获得的收益。</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rPr>
        <w:t>2.业务受理、信息公布的相关时间以上银理财业务系统所记北京时间为准。</w:t>
      </w:r>
    </w:p>
    <w:p>
      <w:pPr>
        <w:spacing w:line="360" w:lineRule="auto"/>
        <w:ind w:firstLine="422" w:firstLineChars="200"/>
        <w:contextualSpacing/>
        <w:rPr>
          <w:rFonts w:hint="eastAsia" w:ascii="楷体" w:hAnsi="楷体" w:eastAsia="楷体" w:cs="楷体"/>
          <w:b/>
          <w:bCs/>
          <w:szCs w:val="21"/>
          <w:u w:val="none"/>
          <w:lang w:val="en-US" w:eastAsia="zh-CN"/>
        </w:rPr>
      </w:pPr>
      <w:r>
        <w:rPr>
          <w:rFonts w:hint="eastAsia" w:ascii="楷体" w:hAnsi="楷体" w:eastAsia="楷体" w:cs="楷体"/>
          <w:b/>
          <w:bCs/>
          <w:szCs w:val="21"/>
          <w:u w:val="none"/>
        </w:rPr>
        <w:t>3.本理财产品</w:t>
      </w:r>
      <w:r>
        <w:rPr>
          <w:rFonts w:hint="eastAsia" w:ascii="楷体" w:hAnsi="楷体" w:eastAsia="楷体" w:cs="楷体"/>
          <w:b/>
          <w:bCs/>
          <w:szCs w:val="21"/>
          <w:u w:val="none"/>
          <w:lang w:val="en-US" w:eastAsia="zh-CN"/>
        </w:rPr>
        <w:t>合同</w:t>
      </w:r>
      <w:r>
        <w:rPr>
          <w:rFonts w:hint="eastAsia" w:ascii="楷体" w:hAnsi="楷体" w:eastAsia="楷体" w:cs="楷体"/>
          <w:b/>
          <w:bCs/>
          <w:szCs w:val="21"/>
          <w:u w:val="none"/>
        </w:rPr>
        <w:t>适用中华人民共和国大陆地区的法律，其项下及与之有关的一切争议，投资者与产品管理人、销售机构应首先友好协商解决。协商未达成一致的，任何一方可向产品管理人所在地法院提起诉讼</w:t>
      </w:r>
      <w:r>
        <w:rPr>
          <w:rFonts w:hint="eastAsia" w:ascii="楷体" w:hAnsi="楷体" w:eastAsia="楷体" w:cs="楷体"/>
          <w:b/>
          <w:bCs/>
          <w:szCs w:val="21"/>
          <w:u w:val="none"/>
          <w:lang w:eastAsia="zh-CN"/>
        </w:rPr>
        <w:t>。</w:t>
      </w:r>
    </w:p>
    <w:p>
      <w:pPr>
        <w:spacing w:line="360" w:lineRule="auto"/>
        <w:ind w:firstLine="422" w:firstLineChars="200"/>
        <w:contextualSpacing/>
        <w:rPr>
          <w:rFonts w:hint="eastAsia" w:ascii="楷体" w:hAnsi="楷体" w:eastAsia="楷体" w:cs="楷体"/>
          <w:b/>
          <w:bCs/>
          <w:u w:val="none"/>
        </w:rPr>
      </w:pPr>
      <w:r>
        <w:rPr>
          <w:rFonts w:hint="eastAsia" w:ascii="楷体" w:hAnsi="楷体" w:eastAsia="楷体" w:cs="楷体"/>
          <w:b/>
          <w:bCs/>
          <w:szCs w:val="21"/>
          <w:u w:val="none"/>
        </w:rPr>
        <w:t>4.</w:t>
      </w:r>
      <w:r>
        <w:rPr>
          <w:rFonts w:hint="eastAsia" w:ascii="楷体" w:hAnsi="楷体" w:eastAsia="楷体" w:cs="楷体"/>
          <w:b/>
          <w:bCs/>
          <w:u w:val="none"/>
        </w:rPr>
        <w:t>本理财产品</w:t>
      </w:r>
      <w:r>
        <w:rPr>
          <w:rFonts w:hint="eastAsia" w:ascii="楷体" w:hAnsi="楷体" w:eastAsia="楷体" w:cs="楷体"/>
          <w:b/>
          <w:bCs/>
          <w:u w:val="none"/>
          <w:lang w:val="en-US" w:eastAsia="zh-CN"/>
        </w:rPr>
        <w:t>合同</w:t>
      </w:r>
      <w:r>
        <w:rPr>
          <w:rFonts w:hint="eastAsia" w:ascii="楷体" w:hAnsi="楷体" w:eastAsia="楷体" w:cs="楷体"/>
          <w:b/>
          <w:bCs/>
          <w:u w:val="none"/>
        </w:rPr>
        <w:t>在法律许可的范围内由管理人负责解释。若客户对上述内容有任何疑问，请联系销售机构</w:t>
      </w:r>
      <w:r>
        <w:rPr>
          <w:rFonts w:hint="eastAsia" w:ascii="楷体" w:hAnsi="楷体" w:eastAsia="楷体" w:cs="楷体"/>
          <w:b/>
          <w:bCs/>
          <w:u w:val="none"/>
          <w:lang w:val="en-US" w:eastAsia="zh-CN"/>
        </w:rPr>
        <w:t>咨询</w:t>
      </w:r>
      <w:r>
        <w:rPr>
          <w:rFonts w:hint="eastAsia" w:ascii="楷体" w:hAnsi="楷体" w:eastAsia="楷体" w:cs="楷体"/>
          <w:b/>
          <w:bCs/>
          <w:u w:val="none"/>
        </w:rPr>
        <w:t>，也可致电销售机构全国统一客户服务热线。</w:t>
      </w:r>
    </w:p>
    <w:p>
      <w:pPr>
        <w:ind w:firstLine="0" w:firstLineChars="0"/>
        <w:rPr>
          <w:rFonts w:hint="eastAsia" w:ascii="楷体" w:hAnsi="楷体" w:eastAsia="楷体" w:cs="楷体"/>
          <w:b w:val="0"/>
          <w:bCs w:val="0"/>
          <w:u w:val="none"/>
        </w:rPr>
      </w:pPr>
    </w:p>
    <w:p>
      <w:pPr>
        <w:ind w:firstLine="0" w:firstLineChars="0"/>
        <w:rPr>
          <w:rFonts w:ascii="楷体" w:hAnsi="楷体" w:eastAsia="楷体"/>
          <w:b/>
          <w:bCs/>
          <w:u w:val="none"/>
        </w:rPr>
      </w:pPr>
    </w:p>
    <w:p>
      <w:pPr>
        <w:rPr>
          <w:rFonts w:hint="eastAsia" w:ascii="楷体" w:hAnsi="楷体" w:eastAsia="楷体"/>
          <w:b/>
          <w:bCs/>
          <w:u w:val="none"/>
        </w:rPr>
      </w:pPr>
    </w:p>
    <w:p>
      <w:pPr>
        <w:rPr>
          <w:rFonts w:hint="eastAsia" w:ascii="黑体" w:hAnsi="黑体" w:eastAsia="黑体" w:cs="黑体"/>
          <w:sz w:val="36"/>
          <w:szCs w:val="36"/>
        </w:rPr>
      </w:pPr>
      <w:bookmarkStart w:id="42" w:name="_GoBack"/>
      <w:bookmarkEnd w:id="42"/>
    </w:p>
    <w:p>
      <w:pPr>
        <w:pStyle w:val="2"/>
        <w:spacing w:after="0" w:line="360" w:lineRule="auto"/>
        <w:jc w:val="center"/>
        <w:rPr>
          <w:rFonts w:ascii="黑体" w:hAnsi="黑体" w:eastAsia="黑体" w:cs="黑体"/>
          <w:sz w:val="36"/>
          <w:szCs w:val="36"/>
        </w:rPr>
      </w:pPr>
      <w:r>
        <w:rPr>
          <w:rFonts w:hint="eastAsia" w:ascii="黑体" w:hAnsi="黑体" w:eastAsia="黑体" w:cs="黑体"/>
          <w:sz w:val="36"/>
          <w:szCs w:val="36"/>
        </w:rPr>
        <w:t>上银理财有限责任公司</w:t>
      </w:r>
      <w:r>
        <w:rPr>
          <w:rFonts w:hint="eastAsia" w:ascii="黑体" w:hAnsi="黑体" w:eastAsia="黑体" w:cs="黑体"/>
          <w:sz w:val="36"/>
          <w:szCs w:val="36"/>
          <w:lang w:val="en-US" w:eastAsia="zh-CN"/>
        </w:rPr>
        <w:t>理财</w:t>
      </w:r>
      <w:r>
        <w:rPr>
          <w:rFonts w:hint="eastAsia" w:ascii="黑体" w:hAnsi="黑体" w:eastAsia="黑体" w:cs="黑体"/>
          <w:sz w:val="36"/>
          <w:szCs w:val="36"/>
        </w:rPr>
        <w:t>产品投资协议书</w:t>
      </w:r>
    </w:p>
    <w:p>
      <w:pPr>
        <w:spacing w:line="360" w:lineRule="auto"/>
        <w:ind w:firstLine="720"/>
        <w:jc w:val="center"/>
        <w:rPr>
          <w:rFonts w:ascii="黑体" w:hAnsi="黑体" w:eastAsia="黑体"/>
          <w:b/>
          <w:bCs/>
          <w:sz w:val="28"/>
        </w:rPr>
      </w:pPr>
      <w:r>
        <w:rPr>
          <w:rFonts w:hint="eastAsia" w:ascii="黑体" w:hAnsi="黑体" w:eastAsia="黑体"/>
          <w:b/>
          <w:bCs/>
          <w:sz w:val="28"/>
        </w:rPr>
        <w:t>（版本号：20</w:t>
      </w:r>
      <w:r>
        <w:rPr>
          <w:rFonts w:hint="eastAsia" w:ascii="黑体" w:hAnsi="黑体" w:eastAsia="黑体"/>
          <w:b/>
          <w:bCs/>
          <w:sz w:val="28"/>
          <w:lang w:val="en-US" w:eastAsia="zh-CN"/>
        </w:rPr>
        <w:t>25</w:t>
      </w:r>
      <w:r>
        <w:rPr>
          <w:rFonts w:hint="eastAsia" w:ascii="黑体" w:hAnsi="黑体" w:eastAsia="黑体"/>
          <w:b/>
          <w:bCs/>
          <w:sz w:val="28"/>
        </w:rPr>
        <w:t>.01）</w:t>
      </w:r>
    </w:p>
    <w:p>
      <w:pPr>
        <w:widowControl/>
        <w:spacing w:line="360" w:lineRule="auto"/>
        <w:ind w:firstLine="480"/>
        <w:jc w:val="center"/>
        <w:rPr>
          <w:rFonts w:ascii="仿宋" w:hAnsi="仿宋" w:eastAsia="仿宋" w:cs="仿宋"/>
          <w:b/>
          <w:kern w:val="0"/>
          <w:sz w:val="24"/>
          <w:lang w:bidi="ar"/>
        </w:rPr>
      </w:pPr>
    </w:p>
    <w:p>
      <w:pPr>
        <w:spacing w:line="360" w:lineRule="auto"/>
        <w:ind w:firstLine="720"/>
        <w:jc w:val="center"/>
        <w:rPr>
          <w:rFonts w:ascii="黑体" w:hAnsi="黑体" w:eastAsia="黑体"/>
          <w:b/>
          <w:bCs/>
          <w:sz w:val="28"/>
        </w:rPr>
      </w:pPr>
      <w:r>
        <w:rPr>
          <w:rFonts w:hint="eastAsia" w:ascii="黑体" w:hAnsi="黑体" w:eastAsia="黑体"/>
          <w:b/>
          <w:bCs/>
          <w:sz w:val="28"/>
        </w:rPr>
        <w:t>理财非存款、产品有风险、投资须谨慎。</w:t>
      </w:r>
    </w:p>
    <w:p>
      <w:pPr>
        <w:pStyle w:val="3"/>
        <w:spacing w:before="0" w:after="0" w:line="360" w:lineRule="auto"/>
        <w:jc w:val="left"/>
        <w:rPr>
          <w:rFonts w:ascii="仿宋" w:hAnsi="仿宋" w:eastAsia="仿宋" w:cs="仿宋"/>
          <w:sz w:val="24"/>
          <w:szCs w:val="24"/>
        </w:rPr>
      </w:pP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投资者（以下简称“甲方”）自愿购买由上银理财有限责任公司（以下简称“乙方”）作为管理人发行的【         】理财产品（产品代码：【        】以下简称“本理财产品”），并签订本协议。</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本协议为规范甲乙双方在理财业务中权利和义务的法律文件。订立本协议的原则是平等自愿、诚实信用、充分保护投资者的合法权益。</w:t>
      </w:r>
      <w:r>
        <w:rPr>
          <w:rFonts w:hint="eastAsia" w:ascii="仿宋" w:hAnsi="仿宋" w:eastAsia="仿宋" w:cs="仿宋"/>
          <w:b/>
          <w:bCs/>
          <w:kern w:val="0"/>
          <w:sz w:val="24"/>
          <w:lang w:bidi="ar"/>
        </w:rPr>
        <w:t>请投资者认真阅读以下条款，尤其是标注加粗的条款。如果投资者不同意本协议的任何内容，或者无法准确理解相关条款的解释，请不要进行后续操作。</w:t>
      </w:r>
    </w:p>
    <w:p>
      <w:pPr>
        <w:widowControl/>
        <w:spacing w:line="360" w:lineRule="auto"/>
        <w:ind w:firstLine="420"/>
        <w:rPr>
          <w:rFonts w:ascii="仿宋" w:hAnsi="仿宋" w:eastAsia="仿宋" w:cs="仿宋"/>
          <w:b/>
          <w:bCs/>
          <w:sz w:val="24"/>
        </w:rPr>
      </w:pPr>
      <w:r>
        <w:rPr>
          <w:rFonts w:hint="eastAsia" w:ascii="仿宋" w:hAnsi="仿宋" w:eastAsia="仿宋" w:cs="仿宋"/>
          <w:b/>
          <w:bCs/>
          <w:kern w:val="0"/>
          <w:sz w:val="24"/>
          <w:lang w:bidi="ar"/>
        </w:rPr>
        <w:t>甲方承诺：</w:t>
      </w:r>
      <w:r>
        <w:rPr>
          <w:rFonts w:hint="eastAsia" w:ascii="仿宋" w:hAnsi="仿宋" w:eastAsia="仿宋" w:cs="仿宋"/>
          <w:b/>
          <w:sz w:val="24"/>
          <w:szCs w:val="28"/>
          <w:lang w:bidi="ar"/>
        </w:rPr>
        <w:t>甲方已经阅读本理财产品所有销售文件，清楚知晓其内容，对有关条款不存在任何疑问或异议，接受并签署本投资协议书。</w:t>
      </w:r>
      <w:r>
        <w:rPr>
          <w:rFonts w:hint="eastAsia" w:ascii="仿宋" w:hAnsi="仿宋" w:eastAsia="仿宋" w:cs="仿宋"/>
          <w:b/>
          <w:sz w:val="24"/>
          <w:szCs w:val="28"/>
        </w:rPr>
        <w:t>甲方以自身合法持有的资金购买乙方发行并管理的产品，并能充分理解所购买产品的内容，完全知晓产品可能出现的各种风险，愿意并能够承担风险；如甲方在本协议项下投资的理财产品为“私募理财产品”，甲方符合监管要求的合格投资者条件。乙方向甲方提供的市场分析和预测仅供参考，甲方据此做出的任何决策均出于甲方自身的判断，并自愿承担购买</w:t>
      </w:r>
      <w:r>
        <w:rPr>
          <w:rFonts w:hint="eastAsia" w:ascii="仿宋" w:hAnsi="仿宋" w:eastAsia="仿宋" w:cs="仿宋"/>
          <w:b/>
          <w:sz w:val="24"/>
          <w:szCs w:val="28"/>
          <w:lang w:bidi="ar"/>
        </w:rPr>
        <w:t>（或赎回、撤单等其他行为）</w:t>
      </w:r>
      <w:r>
        <w:rPr>
          <w:rFonts w:hint="eastAsia" w:ascii="仿宋" w:hAnsi="仿宋" w:eastAsia="仿宋" w:cs="仿宋"/>
          <w:b/>
          <w:sz w:val="24"/>
          <w:szCs w:val="28"/>
        </w:rPr>
        <w:t>理财产品所产生的相关风险和全部后果。</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第一条 协议的构成和效力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本协议与相应期次理财产品的《产品说明书》、《风险揭示书》、《销售协议书》、《客户权益须知》等相关文件共同构成一份完整且不可分割的、关于甲方投资乙方理财产品的法律文件（以下简称“理财产品文件”）。本协议与《产品说明书》不一致的内容，以《产品说明书》约定为准。</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第二条 风险揭示</w:t>
      </w:r>
    </w:p>
    <w:p>
      <w:pPr>
        <w:widowControl/>
        <w:spacing w:line="360" w:lineRule="auto"/>
        <w:ind w:firstLine="482"/>
        <w:rPr>
          <w:rFonts w:ascii="仿宋" w:hAnsi="仿宋" w:eastAsia="仿宋" w:cs="仿宋"/>
          <w:b/>
          <w:bCs/>
          <w:sz w:val="24"/>
        </w:rPr>
      </w:pPr>
      <w:r>
        <w:rPr>
          <w:rFonts w:hint="eastAsia" w:ascii="仿宋" w:hAnsi="仿宋" w:eastAsia="仿宋" w:cs="仿宋"/>
          <w:b/>
          <w:bCs/>
          <w:kern w:val="0"/>
          <w:sz w:val="24"/>
          <w:lang w:bidi="ar"/>
        </w:rPr>
        <w:t>理财非存款、产品有风险、投资须谨慎。理财产品过往业绩不代表其未来表现，不等于理财产品实际收益。投资理财产品可能面临各种风险因素，具体于相应期次理财产品《风险揭示书》中进行揭示，甲方应仔细阅读并充分理解相关销售文件。</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第三条 甲方的权利和义务</w:t>
      </w:r>
    </w:p>
    <w:p>
      <w:pPr>
        <w:widowControl/>
        <w:spacing w:line="360" w:lineRule="auto"/>
        <w:ind w:firstLine="480" w:firstLineChars="200"/>
        <w:rPr>
          <w:rFonts w:hint="eastAsia" w:ascii="仿宋" w:hAnsi="仿宋" w:eastAsia="仿宋" w:cs="仿宋"/>
          <w:kern w:val="0"/>
          <w:sz w:val="24"/>
          <w:lang w:val="en-US" w:eastAsia="zh-CN" w:bidi="ar"/>
        </w:rPr>
      </w:pPr>
      <w:bookmarkStart w:id="28" w:name="_Hlk100080347"/>
      <w:r>
        <w:rPr>
          <w:rFonts w:hint="eastAsia" w:ascii="仿宋" w:hAnsi="仿宋" w:eastAsia="仿宋" w:cs="仿宋"/>
          <w:kern w:val="0"/>
          <w:sz w:val="24"/>
          <w:lang w:bidi="ar"/>
        </w:rPr>
        <w:t>1.</w:t>
      </w:r>
      <w:r>
        <w:rPr>
          <w:rFonts w:hint="eastAsia" w:ascii="仿宋" w:hAnsi="仿宋" w:eastAsia="仿宋" w:cs="仿宋"/>
          <w:kern w:val="0"/>
          <w:sz w:val="24"/>
          <w:lang w:val="en-US" w:eastAsia="zh-CN" w:bidi="ar"/>
        </w:rPr>
        <w:t>【适用于个人投资者】甲方具有完全民事行为能力，有完全适当的资格与能力签订并履行理财产品合同，不存在法律、行政法规有关规定禁止或限制投资理财产品的情形。</w:t>
      </w:r>
    </w:p>
    <w:p>
      <w:pPr>
        <w:widowControl/>
        <w:spacing w:line="360" w:lineRule="auto"/>
        <w:ind w:firstLine="480" w:firstLineChars="0"/>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适用于机构投资者】甲方确认签署和履行理财产品合同系其真实意思表示，已经按照其章程或者其它内部管理文件的要求取得合法、有效的授权且不违反对其有约束力的任何合同和其他法律文件；甲方已经取得签订和履行理财产品合同所需的一切有关批准、许可、备案或者登记。</w:t>
      </w:r>
    </w:p>
    <w:p>
      <w:pPr>
        <w:widowControl/>
        <w:spacing w:line="360" w:lineRule="auto"/>
        <w:ind w:firstLine="480" w:firstLineChars="0"/>
        <w:rPr>
          <w:rFonts w:hint="eastAsia" w:ascii="仿宋" w:hAnsi="仿宋" w:eastAsia="仿宋" w:cs="仿宋"/>
          <w:kern w:val="0"/>
          <w:sz w:val="24"/>
          <w:lang w:bidi="ar"/>
        </w:rPr>
      </w:pPr>
      <w:r>
        <w:rPr>
          <w:rFonts w:hint="eastAsia" w:ascii="仿宋" w:hAnsi="仿宋" w:eastAsia="仿宋" w:cs="仿宋"/>
          <w:kern w:val="0"/>
          <w:sz w:val="24"/>
          <w:lang w:val="en-US" w:eastAsia="zh-CN" w:bidi="ar"/>
        </w:rPr>
        <w:t>2.</w:t>
      </w:r>
      <w:r>
        <w:rPr>
          <w:rFonts w:hint="eastAsia" w:ascii="仿宋" w:hAnsi="仿宋" w:eastAsia="仿宋" w:cs="仿宋"/>
          <w:kern w:val="0"/>
          <w:sz w:val="24"/>
          <w:lang w:bidi="ar"/>
        </w:rPr>
        <w:t>甲方有权通过《产品说明书》了解包括但不限于本理财产品的投资范围、投资资产种类和投资比例等内容。</w:t>
      </w:r>
    </w:p>
    <w:p>
      <w:pPr>
        <w:widowControl/>
        <w:spacing w:line="360" w:lineRule="auto"/>
        <w:ind w:firstLine="480" w:firstLineChars="200"/>
        <w:rPr>
          <w:rFonts w:hint="eastAsia" w:ascii="仿宋" w:hAnsi="仿宋" w:eastAsia="仿宋" w:cs="仿宋"/>
          <w:kern w:val="0"/>
          <w:sz w:val="24"/>
          <w:szCs w:val="22"/>
          <w:lang w:eastAsia="zh-CN" w:bidi="ar"/>
        </w:rPr>
      </w:pPr>
      <w:r>
        <w:rPr>
          <w:rFonts w:hint="eastAsia" w:ascii="仿宋" w:hAnsi="仿宋" w:eastAsia="仿宋" w:cs="仿宋"/>
          <w:kern w:val="0"/>
          <w:sz w:val="24"/>
          <w:szCs w:val="22"/>
          <w:lang w:val="en-US" w:eastAsia="zh-CN" w:bidi="ar"/>
        </w:rPr>
        <w:t>3</w:t>
      </w:r>
      <w:r>
        <w:rPr>
          <w:rFonts w:hint="eastAsia" w:ascii="仿宋" w:hAnsi="仿宋" w:eastAsia="仿宋" w:cs="仿宋"/>
          <w:kern w:val="0"/>
          <w:sz w:val="24"/>
          <w:szCs w:val="22"/>
          <w:lang w:bidi="ar"/>
        </w:rPr>
        <w:t>.甲方有权按照本合同、《产品说明书》的约定，购买或赎回本理财产品</w:t>
      </w:r>
      <w:r>
        <w:rPr>
          <w:rFonts w:hint="eastAsia" w:ascii="仿宋" w:hAnsi="仿宋" w:eastAsia="仿宋" w:cs="仿宋"/>
          <w:kern w:val="0"/>
          <w:sz w:val="24"/>
          <w:szCs w:val="22"/>
          <w:lang w:eastAsia="zh-CN" w:bidi="ar"/>
        </w:rPr>
        <w:t>。</w:t>
      </w:r>
    </w:p>
    <w:p>
      <w:pPr>
        <w:spacing w:line="360" w:lineRule="auto"/>
        <w:ind w:firstLine="480" w:firstLineChars="200"/>
        <w:rPr>
          <w:rFonts w:hint="eastAsia" w:ascii="仿宋" w:hAnsi="仿宋" w:eastAsia="仿宋" w:cs="仿宋"/>
          <w:kern w:val="0"/>
          <w:sz w:val="24"/>
          <w:lang w:eastAsia="zh-CN" w:bidi="ar"/>
        </w:rPr>
      </w:pPr>
      <w:r>
        <w:rPr>
          <w:rFonts w:hint="eastAsia" w:ascii="仿宋" w:hAnsi="仿宋" w:eastAsia="仿宋" w:cs="仿宋"/>
          <w:kern w:val="0"/>
          <w:sz w:val="24"/>
          <w:szCs w:val="22"/>
          <w:lang w:val="en-US" w:eastAsia="zh-CN" w:bidi="ar"/>
        </w:rPr>
        <w:t>4</w:t>
      </w:r>
      <w:r>
        <w:rPr>
          <w:rFonts w:hint="eastAsia" w:ascii="仿宋" w:hAnsi="仿宋" w:eastAsia="仿宋" w:cs="仿宋"/>
          <w:kern w:val="0"/>
          <w:sz w:val="24"/>
          <w:szCs w:val="22"/>
          <w:lang w:bidi="ar"/>
        </w:rPr>
        <w:t>.甲方有权取得与持有份额相对应的投资收益、分配清算后的剩余财产（如有）</w:t>
      </w:r>
      <w:r>
        <w:rPr>
          <w:rFonts w:hint="eastAsia" w:ascii="仿宋" w:hAnsi="仿宋" w:eastAsia="仿宋" w:cs="仿宋"/>
          <w:kern w:val="0"/>
          <w:sz w:val="24"/>
          <w:szCs w:val="22"/>
          <w:lang w:eastAsia="zh-CN" w:bidi="ar"/>
        </w:rPr>
        <w:t>。</w:t>
      </w:r>
    </w:p>
    <w:bookmarkEnd w:id="28"/>
    <w:p>
      <w:pPr>
        <w:widowControl/>
        <w:spacing w:line="360" w:lineRule="auto"/>
        <w:ind w:firstLine="480"/>
        <w:rPr>
          <w:rFonts w:hint="eastAsia" w:ascii="仿宋" w:hAnsi="仿宋" w:eastAsia="仿宋" w:cs="仿宋"/>
          <w:kern w:val="0"/>
          <w:sz w:val="24"/>
          <w:lang w:bidi="ar"/>
        </w:rPr>
      </w:pPr>
      <w:r>
        <w:rPr>
          <w:rFonts w:hint="eastAsia" w:ascii="仿宋" w:hAnsi="仿宋" w:eastAsia="仿宋" w:cs="仿宋"/>
          <w:kern w:val="0"/>
          <w:sz w:val="24"/>
          <w:lang w:val="en-US" w:eastAsia="zh-CN" w:bidi="ar"/>
        </w:rPr>
        <w:t>5</w:t>
      </w:r>
      <w:r>
        <w:rPr>
          <w:rFonts w:hint="eastAsia" w:ascii="仿宋" w:hAnsi="仿宋" w:eastAsia="仿宋" w:cs="仿宋"/>
          <w:kern w:val="0"/>
          <w:sz w:val="24"/>
          <w:lang w:bidi="ar"/>
        </w:rPr>
        <w:t>.甲方承诺其购买理财产品的资金为合法自有资金或合法募集资金，不存在使用贷款、发行债券等筹集的非自有资金投资资产管理产品的情形（合法募集资金除外），甲方承诺投资理财产品使用的资金来源合法合规，并且系为合法之目的投资本理财产品，而非为洗钱等违法犯罪之目的，甲方将配合乙方开展投资者身份识别及尽职调查等反洗钱活动，及时、真实、准确、完整提供身份信息及资金来源等信息。</w:t>
      </w:r>
    </w:p>
    <w:p>
      <w:pPr>
        <w:widowControl/>
        <w:spacing w:line="360" w:lineRule="auto"/>
        <w:ind w:firstLine="480"/>
        <w:rPr>
          <w:rFonts w:hint="eastAsia" w:ascii="仿宋" w:hAnsi="仿宋" w:eastAsia="仿宋" w:cs="仿宋"/>
          <w:kern w:val="0"/>
          <w:sz w:val="24"/>
          <w:lang w:eastAsia="zh-CN" w:bidi="ar"/>
        </w:rPr>
      </w:pPr>
      <w:r>
        <w:rPr>
          <w:rFonts w:hint="eastAsia" w:ascii="仿宋" w:hAnsi="仿宋" w:eastAsia="仿宋" w:cs="仿宋"/>
          <w:kern w:val="0"/>
          <w:sz w:val="24"/>
          <w:lang w:val="en-US" w:eastAsia="zh-CN" w:bidi="ar"/>
        </w:rPr>
        <w:t>6.</w:t>
      </w:r>
      <w:r>
        <w:rPr>
          <w:rFonts w:hint="eastAsia" w:ascii="仿宋" w:hAnsi="仿宋" w:eastAsia="仿宋" w:cs="仿宋"/>
          <w:kern w:val="0"/>
          <w:sz w:val="24"/>
          <w:lang w:bidi="ar"/>
        </w:rPr>
        <w:t>甲方承诺</w:t>
      </w:r>
      <w:r>
        <w:rPr>
          <w:rFonts w:hint="eastAsia" w:ascii="仿宋" w:hAnsi="仿宋" w:eastAsia="仿宋" w:cs="仿宋"/>
          <w:kern w:val="0"/>
          <w:sz w:val="24"/>
          <w:lang w:val="en-US" w:eastAsia="zh-CN" w:bidi="ar"/>
        </w:rPr>
        <w:t>其</w:t>
      </w:r>
      <w:r>
        <w:rPr>
          <w:rFonts w:hint="eastAsia" w:ascii="仿宋" w:hAnsi="仿宋" w:eastAsia="仿宋" w:cs="仿宋"/>
          <w:kern w:val="0"/>
          <w:sz w:val="24"/>
          <w:lang w:bidi="ar"/>
        </w:rPr>
        <w:t>投资理财产品不存在违反监管要求的产品嵌套，以及以投资本理财产品从事规避投资范围、杠杆约束等监管要求等的通道业务违法违规行为</w:t>
      </w:r>
      <w:r>
        <w:rPr>
          <w:rFonts w:hint="eastAsia" w:ascii="仿宋" w:hAnsi="仿宋" w:eastAsia="仿宋" w:cs="仿宋"/>
          <w:kern w:val="0"/>
          <w:sz w:val="24"/>
          <w:lang w:eastAsia="zh-CN" w:bidi="ar"/>
        </w:rPr>
        <w:t>；</w:t>
      </w:r>
      <w:r>
        <w:rPr>
          <w:rFonts w:hint="eastAsia" w:ascii="仿宋" w:hAnsi="仿宋" w:eastAsia="仿宋" w:cs="仿宋"/>
          <w:kern w:val="0"/>
          <w:sz w:val="24"/>
          <w:lang w:bidi="ar"/>
        </w:rPr>
        <w:t>甲方以其管理的私募资产管理产品投资于理财产品的，该私募资产管理产品的所有投资者为符合法律法规规定的合格投资者且委托财产来源合法合规</w:t>
      </w:r>
      <w:r>
        <w:rPr>
          <w:rFonts w:hint="eastAsia" w:ascii="仿宋" w:hAnsi="仿宋" w:eastAsia="仿宋" w:cs="仿宋"/>
          <w:kern w:val="0"/>
          <w:sz w:val="24"/>
          <w:lang w:eastAsia="zh-CN" w:bidi="ar"/>
        </w:rPr>
        <w:t>；</w:t>
      </w:r>
      <w:r>
        <w:rPr>
          <w:rFonts w:hint="eastAsia" w:ascii="仿宋" w:hAnsi="仿宋" w:eastAsia="仿宋" w:cs="仿宋"/>
          <w:kern w:val="0"/>
          <w:sz w:val="24"/>
          <w:lang w:val="en-US" w:eastAsia="zh-CN" w:bidi="ar"/>
        </w:rPr>
        <w:t>甲方应配合乙方为识别合格投资者等目的进行的尽职调查。</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7</w:t>
      </w:r>
      <w:r>
        <w:rPr>
          <w:rFonts w:hint="eastAsia" w:ascii="仿宋" w:hAnsi="仿宋" w:eastAsia="仿宋" w:cs="仿宋"/>
          <w:kern w:val="0"/>
          <w:sz w:val="24"/>
          <w:lang w:bidi="ar"/>
        </w:rPr>
        <w:t>.甲方承诺所提供的所有资料真实、完整、合法、有效，如有变更，甲方应及时通过理财产品文件约定的方式办理变更手续。若甲方未及时办理相关变更手续，由此导致的一切后果由甲方自行承担，乙方对此不承担任何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8</w:t>
      </w:r>
      <w:r>
        <w:rPr>
          <w:rFonts w:hint="eastAsia" w:ascii="仿宋" w:hAnsi="仿宋" w:eastAsia="仿宋" w:cs="仿宋"/>
          <w:kern w:val="0"/>
          <w:sz w:val="24"/>
          <w:lang w:bidi="ar"/>
        </w:rPr>
        <w:t>.在产品认/申购期内，如因甲方原因（包括但不限于甲方账户冻结、挂失、换卡、销户、长期不动户、变更等原因）导致投资本金不能从其约定账户足额划转导致甲方对相关理财产品的购买不成功的，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9</w:t>
      </w:r>
      <w:r>
        <w:rPr>
          <w:rFonts w:hint="eastAsia" w:ascii="仿宋" w:hAnsi="仿宋" w:eastAsia="仿宋" w:cs="仿宋"/>
          <w:kern w:val="0"/>
          <w:sz w:val="24"/>
          <w:lang w:bidi="ar"/>
        </w:rPr>
        <w:t>.甲方对本协议及其条款负有保密义务，未经乙方书面许可，甲方不得向任何组织、个人提供或泄露与乙方有关的业务资料及信息，法律、法规另有规定的除外。</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val="en-US" w:eastAsia="zh-CN" w:bidi="ar"/>
        </w:rPr>
        <w:t>10</w:t>
      </w:r>
      <w:r>
        <w:rPr>
          <w:rFonts w:hint="eastAsia" w:ascii="仿宋" w:hAnsi="仿宋" w:eastAsia="仿宋" w:cs="仿宋"/>
          <w:b/>
          <w:bCs/>
          <w:kern w:val="0"/>
          <w:sz w:val="24"/>
          <w:lang w:bidi="ar"/>
        </w:rPr>
        <w:t>.甲方签署本协议，即同意授权乙方在下述情形时均无须再通知甲方：</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（1）在甲方提交认/申购申请时；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（2）从甲方约定账户冻结/预扣资金时；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（3）于约定时间根据乙方确认的认/申购结果扣划相应资金至乙方指定账户时；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（4）进行币种转换于境外投资时。</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11</w:t>
      </w:r>
      <w:r>
        <w:rPr>
          <w:rFonts w:hint="eastAsia" w:ascii="仿宋" w:hAnsi="仿宋" w:eastAsia="仿宋" w:cs="仿宋"/>
          <w:kern w:val="0"/>
          <w:sz w:val="24"/>
          <w:lang w:bidi="ar"/>
        </w:rPr>
        <w:t>.</w:t>
      </w:r>
      <w:r>
        <w:rPr>
          <w:rFonts w:hint="eastAsia" w:ascii="仿宋" w:hAnsi="仿宋" w:eastAsia="仿宋" w:cs="仿宋"/>
          <w:kern w:val="0"/>
          <w:sz w:val="24"/>
          <w:lang w:val="en-US" w:eastAsia="zh-CN" w:bidi="ar"/>
        </w:rPr>
        <w:t>甲方</w:t>
      </w:r>
      <w:r>
        <w:rPr>
          <w:rFonts w:hint="default" w:ascii="仿宋" w:hAnsi="仿宋" w:eastAsia="仿宋" w:cs="仿宋"/>
          <w:kern w:val="0"/>
          <w:sz w:val="24"/>
          <w:lang w:val="en-US" w:eastAsia="zh-CN" w:bidi="ar"/>
        </w:rPr>
        <w:t>保证熟悉理财产品类型特征及不同销售渠道的相关规定，了</w:t>
      </w:r>
      <w:r>
        <w:rPr>
          <w:rFonts w:hint="eastAsia" w:ascii="仿宋" w:hAnsi="仿宋" w:eastAsia="仿宋" w:cs="仿宋"/>
          <w:kern w:val="0"/>
          <w:sz w:val="24"/>
          <w:lang w:val="en-US" w:eastAsia="zh-CN" w:bidi="ar"/>
        </w:rPr>
        <w:t>解理财产品直销与代理销售的相关区别。</w:t>
      </w:r>
      <w:r>
        <w:rPr>
          <w:rFonts w:hint="eastAsia" w:ascii="仿宋" w:hAnsi="仿宋" w:eastAsia="仿宋" w:cs="仿宋"/>
          <w:kern w:val="0"/>
          <w:sz w:val="24"/>
          <w:lang w:bidi="ar"/>
        </w:rPr>
        <w:t>对于甲方通过</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代理销售机构的网上银行、手机银行等各渠道购买的由乙方管理的理财产品，甲方确认其在</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渠道系统点击确认的理财产品销售文件的合法有效性，与纸质签署具有同等效力，并确认记录以及录音、录像构成对甲方操作行为（包括但不限于购买、赎回、撤单等业务）的终局证据，并且在双方发生争议时可以作为合法有效的证据使用。</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val="en-US" w:eastAsia="zh-CN" w:bidi="ar"/>
        </w:rPr>
        <w:t>12</w:t>
      </w:r>
      <w:r>
        <w:rPr>
          <w:rFonts w:hint="eastAsia" w:ascii="仿宋" w:hAnsi="仿宋" w:eastAsia="仿宋" w:cs="仿宋"/>
          <w:b/>
          <w:bCs/>
          <w:kern w:val="0"/>
          <w:sz w:val="24"/>
          <w:lang w:bidi="ar"/>
        </w:rPr>
        <w:t>.如甲方投资的理财产品为私募理财产品，甲方自签署理财产品合同或提交认/申购申请时起可以享有24小时的投资冷静期。</w:t>
      </w:r>
      <w:r>
        <w:rPr>
          <w:rFonts w:hint="eastAsia" w:ascii="仿宋" w:hAnsi="仿宋" w:eastAsia="仿宋" w:cs="仿宋"/>
          <w:kern w:val="0"/>
          <w:sz w:val="24"/>
          <w:lang w:bidi="ar"/>
        </w:rPr>
        <w:t>在冷静期内，如甲方改变投资决定，应立即在投资冷静期内撤销认/申购的申请，并提出解除相应理财产品合同，乙方应当遵从甲方意愿，解除已签订的理财产品合同，并及时退还甲方的全部投资款项。</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13</w:t>
      </w:r>
      <w:r>
        <w:rPr>
          <w:rFonts w:hint="eastAsia" w:ascii="仿宋" w:hAnsi="仿宋" w:eastAsia="仿宋" w:cs="仿宋"/>
          <w:kern w:val="0"/>
          <w:sz w:val="24"/>
          <w:lang w:bidi="ar"/>
        </w:rPr>
        <w:t>.甲方签署本协议，即视为知晓并确认无论通过任何渠道购买本产品，均是基于对产品的特点、期限、流动性及相关风险的充分理解和评估所作出的独立判断，由此产生的一切后果，将由甲方自行独立承担。监管有最新规定的，从其规定。</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14</w:t>
      </w:r>
      <w:r>
        <w:rPr>
          <w:rFonts w:hint="eastAsia" w:ascii="仿宋" w:hAnsi="仿宋" w:eastAsia="仿宋" w:cs="仿宋"/>
          <w:kern w:val="0"/>
          <w:sz w:val="24"/>
          <w:lang w:bidi="ar"/>
        </w:rPr>
        <w:t>.甲方承诺在产品存续期内，除按照《产品说明书》约定的情形外，不得要求乙方退还已扣划款项或以任何形式清算其持有的理财产品份额，且不得将约定账户销户。</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机构即为甲方约定账户开户银行的，</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机构有权拒绝甲方的销户请求并及时告知乙方。</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15</w:t>
      </w:r>
      <w:r>
        <w:rPr>
          <w:rFonts w:hint="eastAsia" w:ascii="仿宋" w:hAnsi="仿宋" w:eastAsia="仿宋" w:cs="仿宋"/>
          <w:kern w:val="0"/>
          <w:sz w:val="24"/>
          <w:lang w:bidi="ar"/>
        </w:rPr>
        <w:t>.如因甲方的原因，导致乙方对其他第三方承担赔偿责任，甲方承诺对乙方承担相应的赔偿责任。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16</w:t>
      </w:r>
      <w:r>
        <w:rPr>
          <w:rFonts w:ascii="仿宋" w:hAnsi="仿宋" w:eastAsia="仿宋" w:cs="仿宋"/>
          <w:kern w:val="0"/>
          <w:sz w:val="24"/>
          <w:lang w:bidi="ar"/>
        </w:rPr>
        <w:t>.</w:t>
      </w:r>
      <w:r>
        <w:rPr>
          <w:rFonts w:hint="eastAsia" w:ascii="仿宋" w:hAnsi="仿宋" w:eastAsia="仿宋" w:cs="仿宋"/>
          <w:kern w:val="0"/>
          <w:sz w:val="24"/>
          <w:lang w:bidi="ar"/>
        </w:rPr>
        <w:t>根据《产品说明书》的相关约定，甲方所应享有的其他权利和应履行的其他义务。</w:t>
      </w:r>
    </w:p>
    <w:p>
      <w:pPr>
        <w:widowControl/>
        <w:spacing w:line="360" w:lineRule="auto"/>
        <w:rPr>
          <w:rFonts w:ascii="仿宋" w:hAnsi="仿宋" w:eastAsia="仿宋" w:cs="仿宋"/>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第四条 乙方权利和义务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1.乙方有权向甲方收取理财产品的相关费用，具体收费项目、条件、标准和方式，在《产品说明书》中载明，</w:t>
      </w:r>
      <w:r>
        <w:rPr>
          <w:rFonts w:hint="eastAsia" w:ascii="仿宋" w:hAnsi="仿宋" w:eastAsia="仿宋" w:cs="仿宋"/>
          <w:b/>
          <w:bCs/>
          <w:kern w:val="0"/>
          <w:sz w:val="24"/>
          <w:lang w:bidi="ar"/>
        </w:rPr>
        <w:t>乙方有权根据《产品说明书》的约定通过信息披露的方式对具体收费项目、条件、标准和方式进行变更。乙方亦有权根据服务项目或服务内容，对服务价格、优惠措施及其生效和终止日期、与价格相关的例外条款和限制性条款、咨询（投诉）的联系方式等信息通过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代理销售机构的网点、网站等渠道或乙方在《产品说明书》指定的信息披露场所向甲方进行信息披露。</w:t>
      </w:r>
      <w:r>
        <w:rPr>
          <w:rFonts w:hint="eastAsia" w:ascii="仿宋" w:hAnsi="仿宋" w:eastAsia="仿宋" w:cs="仿宋"/>
          <w:kern w:val="0"/>
          <w:sz w:val="24"/>
          <w:lang w:bidi="ar"/>
        </w:rPr>
        <w:t>该等乙方信息披露内容构成本协议不可分割的一部分，与本协议具有同等效力，甲方应在充分知晓、理解有关信息披露内容后签署本协议，并在签署本协议后持续关注。</w:t>
      </w:r>
    </w:p>
    <w:p>
      <w:pPr>
        <w:spacing w:line="360" w:lineRule="auto"/>
        <w:ind w:firstLine="482"/>
        <w:rPr>
          <w:rFonts w:ascii="仿宋" w:hAnsi="仿宋" w:eastAsia="仿宋" w:cs="仿宋"/>
          <w:b/>
          <w:bCs/>
          <w:sz w:val="24"/>
        </w:rPr>
      </w:pPr>
      <w:r>
        <w:rPr>
          <w:rFonts w:hint="eastAsia" w:ascii="仿宋" w:hAnsi="仿宋" w:eastAsia="仿宋" w:cs="仿宋"/>
          <w:kern w:val="0"/>
          <w:sz w:val="24"/>
          <w:lang w:bidi="ar"/>
        </w:rPr>
        <w:t>2.乙方及/或代理销售机构按照《产品说明书》约定向甲方进行理财产品份额的利益分配并将对应资金划入甲方约定账户后，即视为乙方已向甲方完成利益分配和资金的清算分配。</w:t>
      </w:r>
      <w:r>
        <w:rPr>
          <w:rFonts w:hint="eastAsia" w:ascii="仿宋" w:hAnsi="仿宋" w:eastAsia="仿宋" w:cs="仿宋"/>
          <w:b/>
          <w:bCs/>
          <w:kern w:val="0"/>
          <w:sz w:val="24"/>
          <w:lang w:bidi="ar"/>
        </w:rPr>
        <w:t>因甲方约定账户冻结、挂失、换卡、销户、长期不动户等原因造成账户变更或异常，甲方应及时到乙方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处办理变更手续，并经乙方和代理销售机构确认后生效。如因甲方未及时办理变更手续而造成乙方及/或代理销售机构无法向甲方进行正常收益分配和资金清算分配，由此导致甲方损失的由甲方自行承担，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3.乙方应按照《产品说明书》的约定披露产品相关信息。</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4.如果发生本理财产品所投资资产项下义务人违约等情形，</w:t>
      </w:r>
      <w:r>
        <w:rPr>
          <w:rFonts w:hint="eastAsia" w:ascii="仿宋" w:hAnsi="仿宋" w:eastAsia="仿宋" w:cs="仿宋"/>
          <w:b/>
          <w:bCs/>
          <w:kern w:val="0"/>
          <w:sz w:val="24"/>
          <w:lang w:bidi="ar"/>
        </w:rPr>
        <w:t>甲方同意，乙方有权向上述义务人进行追索，追索期间所发生的费用（包括但不限于诉讼费、仲裁费、律师费等全部费用）由理财产品承担，将从追索回来的款项中扣除。若管理人以其固有财产先行垫付的，乙方有权从追索回来的款项中优先扣除。</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5.乙方作为理财产品管理人，全权负责理财产品资金的运用和理财产品资产的管理，</w:t>
      </w:r>
      <w:r>
        <w:rPr>
          <w:rFonts w:hint="eastAsia" w:ascii="仿宋" w:hAnsi="仿宋" w:eastAsia="仿宋" w:cs="仿宋"/>
          <w:b/>
          <w:bCs/>
          <w:kern w:val="0"/>
          <w:sz w:val="24"/>
          <w:lang w:bidi="ar"/>
        </w:rPr>
        <w:t>有权参加与理财产品所投资资产相关的所有会议，并代表理财产品及其全部投资者对相关事项进行表决；乙方有权代表甲方利益，按照法律法规和监管部门相关规定以及与投资相关的法律文件的约定对理财产品投资产生的风险资产进行多种方式的处置，包括但不限于转让、重组、债转股、资产证券化、委外催收、抵债资产收取与处置、破产重整等。甲方对此充分理解并同意该等授权安排。</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6.乙方有权按照法律法规和监管要求，</w:t>
      </w:r>
      <w:r>
        <w:rPr>
          <w:rFonts w:hint="eastAsia" w:ascii="仿宋" w:hAnsi="仿宋" w:eastAsia="仿宋" w:cs="仿宋"/>
          <w:b/>
          <w:bCs/>
          <w:kern w:val="0"/>
          <w:sz w:val="24"/>
          <w:lang w:bidi="ar"/>
        </w:rPr>
        <w:t>报送甲方身份信息及其持有理财产品信息等；在乙方办理本协议项下相关事项所必需的情形下，甲方同意并授权乙方向乙方集团成员、服务机构及其他乙方认为必要的业务合作机构提供乙方获取的甲方信息，范围包括但不限于甲方的身份信息、账户信息等。</w:t>
      </w:r>
      <w:r>
        <w:rPr>
          <w:rFonts w:hint="eastAsia" w:ascii="仿宋" w:hAnsi="仿宋" w:eastAsia="仿宋" w:cs="仿宋"/>
          <w:kern w:val="0"/>
          <w:sz w:val="24"/>
          <w:lang w:bidi="ar"/>
        </w:rPr>
        <w:t>上述第三方将为处理本协议项下事务之目的接触并按照乙方的业务需要以及“最少必须”原则使用甲方信息。乙方承诺将向有关第三方明确其保护甲方信息的职责并要求第三方承担相应保密义务。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7.除按《产品说明书》约定乙方或甲方享有的提前终止权外，甲方有违约行为时，乙方有权提前终止本协议。</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8.乙方或代理销售机构发现或有合理理由怀疑甲方或其资金存在洗钱、恐怖融资、逃税等嫌疑的，乙方有权提前终止本协议，造成甲方损失的，乙方不承担责任。</w:t>
      </w:r>
    </w:p>
    <w:p>
      <w:pPr>
        <w:spacing w:line="360" w:lineRule="auto"/>
        <w:ind w:firstLine="482"/>
        <w:rPr>
          <w:rFonts w:ascii="仿宋" w:hAnsi="仿宋" w:eastAsia="仿宋" w:cs="仿宋"/>
          <w:kern w:val="0"/>
          <w:sz w:val="24"/>
          <w:lang w:bidi="ar"/>
        </w:rPr>
      </w:pPr>
      <w:bookmarkStart w:id="29" w:name="_Hlk100085418"/>
      <w:r>
        <w:rPr>
          <w:rFonts w:hint="eastAsia" w:ascii="仿宋" w:hAnsi="仿宋" w:eastAsia="仿宋" w:cs="仿宋"/>
          <w:kern w:val="0"/>
          <w:sz w:val="24"/>
          <w:lang w:bidi="ar"/>
        </w:rPr>
        <w:t>9</w:t>
      </w:r>
      <w:r>
        <w:rPr>
          <w:rFonts w:ascii="仿宋" w:hAnsi="仿宋" w:eastAsia="仿宋" w:cs="仿宋"/>
          <w:kern w:val="0"/>
          <w:sz w:val="24"/>
          <w:lang w:bidi="ar"/>
        </w:rPr>
        <w:t>.</w:t>
      </w:r>
      <w:r>
        <w:rPr>
          <w:rFonts w:hint="eastAsia" w:ascii="仿宋" w:hAnsi="仿宋" w:eastAsia="仿宋" w:cs="仿宋"/>
          <w:kern w:val="0"/>
          <w:sz w:val="24"/>
          <w:lang w:bidi="ar"/>
        </w:rPr>
        <w:t>乙方应以诚实信用、勤勉尽责为原则，根据《产品说明书》所载要求管理和运用理财产品资产。</w:t>
      </w:r>
    </w:p>
    <w:bookmarkEnd w:id="29"/>
    <w:p>
      <w:pPr>
        <w:widowControl/>
        <w:spacing w:line="360" w:lineRule="auto"/>
        <w:ind w:firstLine="480"/>
        <w:rPr>
          <w:rFonts w:ascii="仿宋" w:hAnsi="仿宋" w:eastAsia="仿宋" w:cs="仿宋"/>
          <w:kern w:val="0"/>
          <w:sz w:val="24"/>
          <w:lang w:bidi="ar"/>
        </w:rPr>
      </w:pPr>
      <w:bookmarkStart w:id="30" w:name="_Hlk100071245"/>
      <w:r>
        <w:rPr>
          <w:rFonts w:ascii="仿宋" w:hAnsi="仿宋" w:eastAsia="仿宋" w:cs="仿宋"/>
          <w:kern w:val="0"/>
          <w:sz w:val="24"/>
          <w:lang w:bidi="ar"/>
        </w:rPr>
        <w:t>10.</w:t>
      </w:r>
      <w:r>
        <w:rPr>
          <w:rFonts w:hint="eastAsia" w:ascii="仿宋" w:hAnsi="仿宋" w:eastAsia="仿宋" w:cs="仿宋"/>
          <w:kern w:val="0"/>
          <w:sz w:val="24"/>
          <w:lang w:bidi="ar"/>
        </w:rPr>
        <w:t>乙方有义务根据《产品说明书》的相关规定进行理财产品的信息披露。</w:t>
      </w:r>
    </w:p>
    <w:p>
      <w:pPr>
        <w:widowControl/>
        <w:spacing w:line="360" w:lineRule="auto"/>
        <w:ind w:firstLine="480"/>
        <w:rPr>
          <w:rFonts w:ascii="仿宋" w:hAnsi="仿宋" w:eastAsia="仿宋" w:cs="仿宋"/>
          <w:sz w:val="24"/>
        </w:rPr>
      </w:pPr>
      <w:r>
        <w:rPr>
          <w:rFonts w:ascii="仿宋" w:hAnsi="仿宋" w:eastAsia="仿宋" w:cs="仿宋"/>
          <w:kern w:val="0"/>
          <w:sz w:val="24"/>
          <w:lang w:bidi="ar"/>
        </w:rPr>
        <w:t>11.</w:t>
      </w:r>
      <w:r>
        <w:rPr>
          <w:rFonts w:hint="eastAsia" w:ascii="仿宋" w:hAnsi="仿宋" w:eastAsia="仿宋" w:cs="仿宋"/>
          <w:kern w:val="0"/>
          <w:sz w:val="24"/>
          <w:lang w:bidi="ar"/>
        </w:rPr>
        <w:t>乙方有义务根据《产品说明书》的相关规定对甲方的重要信息进行保密。</w:t>
      </w:r>
    </w:p>
    <w:p>
      <w:pPr>
        <w:widowControl/>
        <w:spacing w:line="360" w:lineRule="auto"/>
        <w:ind w:firstLine="480"/>
        <w:rPr>
          <w:rFonts w:ascii="仿宋" w:hAnsi="仿宋" w:eastAsia="仿宋" w:cs="仿宋"/>
          <w:kern w:val="0"/>
          <w:sz w:val="24"/>
          <w:lang w:bidi="ar"/>
        </w:rPr>
      </w:pPr>
      <w:r>
        <w:rPr>
          <w:rFonts w:ascii="仿宋" w:hAnsi="仿宋" w:eastAsia="仿宋" w:cs="仿宋"/>
          <w:kern w:val="0"/>
          <w:sz w:val="24"/>
          <w:lang w:bidi="ar"/>
        </w:rPr>
        <w:t>12</w:t>
      </w:r>
      <w:r>
        <w:rPr>
          <w:rFonts w:hint="eastAsia" w:ascii="仿宋" w:hAnsi="仿宋" w:eastAsia="仿宋" w:cs="仿宋"/>
          <w:kern w:val="0"/>
          <w:sz w:val="24"/>
          <w:lang w:bidi="ar"/>
        </w:rPr>
        <w:t>.根据《产品说明书》的相关约定，乙方所应享有的其他权利和应履行的其他义务。</w:t>
      </w:r>
    </w:p>
    <w:bookmarkEnd w:id="30"/>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第五条 理财产品的投资管理</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1.甲方已清楚知悉并同意本协议项下理财产品的投资管理由乙方负责实施。</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2.乙方按照法律法规和产品说明书的约定诚实信用、谨慎勤勉地实施投资管理行为，以专业技能管理理财产品资产，依法维护理财产品全体投资者的利益。</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3.乙方不对任何理财产品的本金或收益做出任何承诺或保证。</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甲方同意乙方依据相关法律法规规定、产品说明书约定或产品投资管理需要选任或委托相关投资管理机构、托管机构等理财投资合作机构；同意乙方以自身名义或理财产品名义签署合同/协议等相关文件；承诺承担乙方履行合同/协议等相关文件产生的法律后果。</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bidi="ar"/>
        </w:rPr>
        <w:t>5.为实现理财产品的投资目标及/或维护理财产品全体投资者的利益，乙方有权行使与投资相关的权利、履行相关义务，有权决定理财产品所投基础资产投资的管理、合同/文件条款变更、赎回、处置与披露等事宜，包括但不限于：有权处理基础资产抵质押、担保/增信等事宜、有权决定基础资产及其底层资产投放的先决条件是否放弃或延后、有权决定基础资产投资的相关罚息/违约金/损害赔偿金的降低或免除、利息的降低或免除、有权决定是否同意基础资产的债务人提前还款或立即还款（含全部及部分）或展期及展期条件、有权决定投后监管的执行等。当理财产品的资产安全受到侵害时或发生本理财产品基础资产项下义务人未按时足额付款等情形，乙方有权以自身名义代表理财产品全体投资者采取诉讼或其他权利救济措施。乙方采取上述行动所产生的费用（包括但不限于诉讼费、仲裁费、律师费等全部费用）和法律后果由理财产品承担，若管理人以其固有财产先行垫付的，乙方有权从追索回来的款项中优先扣除。</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6.甲方同意乙方在产品说明书约定的投资计划（包括但不限于投资范围、投资资产种类、投资比例等内容）内，依据自身的投资决策流程和风险管理机制做出和实施相关投资管理决定。</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出现市场情况变化等情况时，乙方可根据需要做出调整产品说明书约定投资计划的决定，并通过产品说明书约定的途径与方式进行披露。甲方应注意及时就所认购/申购产品的信息进行查询。乙方将本着维护理财产品全体投资者利益的原则依据相关法律法规进行投资计划调整。</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第六条 免责条款</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bidi="ar"/>
        </w:rPr>
        <w:t>1.</w:t>
      </w:r>
      <w:r>
        <w:rPr>
          <w:rFonts w:hint="eastAsia" w:ascii="仿宋" w:hAnsi="仿宋" w:eastAsia="仿宋" w:cs="仿宋"/>
          <w:b/>
          <w:bCs/>
          <w:kern w:val="0"/>
          <w:sz w:val="24"/>
          <w:lang w:val="zh-CN" w:bidi="ar"/>
        </w:rPr>
        <w:t xml:space="preserve"> 如因法律颁布或修订、政策变化、监管要求等任一原因，致使乙方提供或维持本合同项下服务不合法、不合规的，乙方有权调整服务内容或不再提供服务，要求甲方提前赎回投资并终止协议。由此导致的甲方损失，乙方不承担责任。</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bidi="ar"/>
        </w:rPr>
        <w:t xml:space="preserve">2. </w:t>
      </w:r>
      <w:r>
        <w:rPr>
          <w:rFonts w:hint="eastAsia" w:ascii="仿宋" w:hAnsi="仿宋" w:eastAsia="仿宋" w:cs="仿宋"/>
          <w:b/>
          <w:bCs/>
          <w:kern w:val="0"/>
          <w:sz w:val="24"/>
          <w:lang w:val="zh-CN" w:bidi="ar"/>
        </w:rPr>
        <w:t>乙方因不可抗力事件及不可归责于受托方的其他原因导致无法及时办理理财申购、赎回业务的，甲方免除乙方责任，但乙方应采取必要措施尽可能使业务恢复正常运行。协议所称不可抗力是指不能预见、不能避免、不能克服并对当事人造成重大影响的客观情况，包括但不限于自然灾害如洪水、地震、火灾和风暴等以及社会事件如战争、动乱、罢工、政府行为或法律规定及政策变化等。</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val="zh-CN" w:bidi="ar"/>
        </w:rPr>
        <w:t>3. 因有权机关、银行、支付清算机构等依法对甲方理财份额及账户执行冻结或扣划等措施，账户被限制支付、状态异常等原因导致的交易失败及损失等，由甲方自行承担。</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val="zh-CN" w:bidi="ar"/>
        </w:rPr>
        <w:t>发生前述情形时，乙方将在条件允许的情况下采取必要的、合理的补救措施，以尽力保护甲方利益，减少甲方损失，但乙方不保证甲方的损失因乙方的补救措施而必然减少，且乙方无义务必须采取前述补救措施。</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第七条 法律适用与争议处理</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 xml:space="preserve">1.本协议适用中华人民共和国大陆地区的法律。 </w:t>
      </w:r>
    </w:p>
    <w:p>
      <w:pPr>
        <w:widowControl/>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2.本协议项下及与之有关的一切争议，甲乙双方应首先友好协商解决。协商未达成一致的，任何一方可向乙方所在地法院提起诉讼。</w:t>
      </w:r>
    </w:p>
    <w:p>
      <w:pPr>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3.在协商或诉讼期间，对于本协议不涉及争议部分的条款，合同当事人仍须履行。</w:t>
      </w:r>
    </w:p>
    <w:p>
      <w:pPr>
        <w:spacing w:line="360" w:lineRule="auto"/>
        <w:ind w:firstLine="482" w:firstLineChars="200"/>
        <w:rPr>
          <w:rFonts w:ascii="仿宋" w:hAnsi="仿宋" w:eastAsia="仿宋" w:cs="仿宋"/>
          <w:b/>
          <w:bCs/>
          <w:sz w:val="24"/>
        </w:rPr>
      </w:pPr>
      <w:r>
        <w:rPr>
          <w:rFonts w:hint="eastAsia" w:ascii="仿宋" w:hAnsi="仿宋" w:eastAsia="仿宋" w:cs="仿宋"/>
          <w:b/>
          <w:bCs/>
          <w:sz w:val="24"/>
        </w:rPr>
        <w:t>4.甲方确认其向</w:t>
      </w:r>
      <w:r>
        <w:rPr>
          <w:rFonts w:hint="eastAsia" w:ascii="仿宋" w:hAnsi="仿宋" w:eastAsia="仿宋" w:cs="仿宋"/>
          <w:b/>
          <w:bCs/>
          <w:sz w:val="24"/>
          <w:lang w:val="en-US" w:eastAsia="zh-CN"/>
        </w:rPr>
        <w:t>乙方</w:t>
      </w:r>
      <w:r>
        <w:rPr>
          <w:rFonts w:hint="eastAsia" w:ascii="仿宋" w:hAnsi="仿宋" w:eastAsia="仿宋" w:cs="仿宋"/>
          <w:b/>
          <w:bCs/>
          <w:sz w:val="24"/>
        </w:rPr>
        <w:t>提供的通讯地址、联络方式及电子邮箱适用于本协议项下的通知及一审、二审、再审及执行程序。上述通知方式发生变化，甲方应当及时修改相关预留信息，未修改前，甲方按照原通知方式进行送达的，视为有效送达。未免歧义，双方确认本条款不够成对信息披露相关约定的修改。</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第八条 协议的生效和终止</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1.甲方通过乙方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代理销售机构营业网点柜面渠道购买理财产品的，本协议自甲方签署所购买产品对应的理财业务专用凭证、认缴认购或申购资金并经乙方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代理销售机构业务系统受理后生效。甲方在乙方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代理销售机构网上银行、手机银行、ITM等电子渠道购买理财产品的，本协议自甲方点击同意确认、完成验证手续并购买后生效。</w:t>
      </w:r>
      <w:r>
        <w:rPr>
          <w:rFonts w:hint="eastAsia" w:ascii="仿宋" w:hAnsi="仿宋" w:eastAsia="仿宋" w:cs="仿宋"/>
          <w:b/>
          <w:kern w:val="0"/>
          <w:sz w:val="24"/>
          <w:lang w:bidi="ar"/>
        </w:rPr>
        <w:t>甲方认可线上点击同意具有与书面签署同等的法律效力。</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2.甲方认/申购理财产品失败、乙方或甲方提前终止以及理财产品到期并结清后，本协议自动终止。</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3.除按《产品说明书》约定甲方或乙方享有的提前终止权外，</w:t>
      </w:r>
      <w:r>
        <w:rPr>
          <w:rFonts w:hint="eastAsia" w:ascii="仿宋" w:hAnsi="仿宋" w:eastAsia="仿宋" w:cs="仿宋"/>
          <w:b/>
          <w:bCs/>
          <w:kern w:val="0"/>
          <w:sz w:val="24"/>
          <w:lang w:bidi="ar"/>
        </w:rPr>
        <w:t>甲方有违约行为或交易资金被国家有权机关采取保全措施时，乙方有权提前终止本协议且无需承担任何责任。</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bidi="ar"/>
        </w:rPr>
        <w:t>4.乙方有权不定期对本协议进行更新，并</w:t>
      </w:r>
      <w:r>
        <w:rPr>
          <w:rFonts w:hint="eastAsia" w:ascii="仿宋" w:hAnsi="仿宋" w:eastAsia="仿宋" w:cs="仿宋"/>
          <w:b/>
          <w:bCs/>
          <w:kern w:val="0"/>
          <w:sz w:val="24"/>
          <w:lang w:val="en-US" w:eastAsia="zh-CN" w:bidi="ar"/>
        </w:rPr>
        <w:t>通过公告形式</w:t>
      </w:r>
      <w:r>
        <w:rPr>
          <w:rFonts w:hint="eastAsia" w:ascii="仿宋" w:hAnsi="仿宋" w:eastAsia="仿宋" w:cs="仿宋"/>
          <w:b/>
          <w:bCs/>
          <w:kern w:val="0"/>
          <w:sz w:val="24"/>
          <w:lang w:bidi="ar"/>
        </w:rPr>
        <w:t>在乙方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机构官方渠道</w:t>
      </w:r>
      <w:r>
        <w:rPr>
          <w:rFonts w:hint="eastAsia" w:ascii="仿宋" w:hAnsi="仿宋" w:eastAsia="仿宋" w:cs="仿宋"/>
          <w:b/>
          <w:bCs/>
          <w:sz w:val="24"/>
        </w:rPr>
        <w:t>进行披露。乙方更新本协议并进行披露后，如甲方新购买，或在乙方</w:t>
      </w:r>
      <w:r>
        <w:rPr>
          <w:rFonts w:hint="eastAsia" w:ascii="仿宋" w:hAnsi="仿宋" w:eastAsia="仿宋" w:cs="仿宋"/>
          <w:b/>
          <w:bCs/>
          <w:sz w:val="24"/>
          <w:lang w:val="en-US" w:eastAsia="zh-CN"/>
        </w:rPr>
        <w:t>公告的时间范围内</w:t>
      </w:r>
      <w:r>
        <w:rPr>
          <w:rFonts w:hint="eastAsia" w:ascii="仿宋" w:hAnsi="仿宋" w:eastAsia="仿宋" w:cs="仿宋"/>
          <w:b/>
          <w:bCs/>
          <w:kern w:val="0"/>
          <w:sz w:val="24"/>
          <w:lang w:bidi="ar"/>
        </w:rPr>
        <w:t>继续持有乙方理财产品，则视为甲方完全接受新协议的所有内容。</w:t>
      </w:r>
      <w:r>
        <w:rPr>
          <w:rFonts w:hint="eastAsia" w:ascii="仿宋" w:hAnsi="仿宋" w:eastAsia="仿宋" w:cs="仿宋"/>
          <w:kern w:val="0"/>
          <w:sz w:val="24"/>
          <w:lang w:bidi="ar"/>
        </w:rPr>
        <w:t>如甲方对新协议内容存在异议，应在</w:t>
      </w:r>
      <w:r>
        <w:rPr>
          <w:rFonts w:hint="eastAsia" w:ascii="仿宋" w:hAnsi="仿宋" w:eastAsia="仿宋" w:cs="仿宋"/>
          <w:kern w:val="0"/>
          <w:sz w:val="24"/>
          <w:lang w:val="en-US" w:eastAsia="zh-CN" w:bidi="ar"/>
        </w:rPr>
        <w:t>乙方公告的时间范围内</w:t>
      </w:r>
      <w:r>
        <w:rPr>
          <w:rFonts w:hint="eastAsia" w:ascii="仿宋" w:hAnsi="仿宋" w:eastAsia="仿宋" w:cs="仿宋"/>
          <w:kern w:val="0"/>
          <w:sz w:val="24"/>
          <w:lang w:bidi="ar"/>
        </w:rPr>
        <w:t>全额赎回所持有的该理财产品的全部份额，且不新购买相应的理财产品，此种情况下新协议对甲方不发生效力。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特别提示：如甲方对乙方产品或服务有任何疑问、意见或建议，可通过拨打乙方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代理销售机构客户服务与投诉热线或向乙方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代理销售机构的营业网点咨询与反馈。</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甲方承诺：我方已仔细阅读上述所有条款，并已特别注意字体加粗的内容。上银理财有限责任公司已应我方要求对相关条款予以明确说明，我方对所有条款的含义及相应的法律后果已全部通晓并充分理解。我方以合法自有资金自愿购买本理财产品，充分理解产品要素，完全知晓产品风险，愿意并能够承担风险。我方做出的投资决策出于我方自己的判定，乙方不承担责任。</w:t>
      </w:r>
    </w:p>
    <w:p>
      <w:pPr>
        <w:widowControl/>
        <w:spacing w:line="360" w:lineRule="auto"/>
        <w:ind w:firstLine="0"/>
        <w:rPr>
          <w:rFonts w:ascii="仿宋" w:hAnsi="仿宋" w:eastAsia="仿宋" w:cs="仿宋"/>
          <w:sz w:val="24"/>
        </w:rPr>
      </w:pPr>
    </w:p>
    <w:p>
      <w:pPr>
        <w:widowControl/>
        <w:spacing w:line="360" w:lineRule="auto"/>
        <w:rPr>
          <w:rFonts w:ascii="仿宋" w:hAnsi="仿宋" w:eastAsia="仿宋" w:cs="仿宋"/>
          <w:kern w:val="0"/>
          <w:sz w:val="24"/>
          <w:lang w:bidi="ar"/>
        </w:rPr>
      </w:pPr>
      <w:r>
        <w:rPr>
          <w:rFonts w:hint="eastAsia" w:ascii="仿宋" w:hAnsi="仿宋" w:eastAsia="仿宋" w:cs="仿宋"/>
          <w:kern w:val="0"/>
          <w:sz w:val="24"/>
          <w:lang w:bidi="ar"/>
        </w:rPr>
        <w:t>甲方：</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（签字/签章/线上点击确认）</w:t>
      </w:r>
      <w:r>
        <w:rPr>
          <w:rFonts w:hint="eastAsia" w:ascii="仿宋" w:hAnsi="仿宋" w:eastAsia="仿宋" w:cs="仿宋"/>
          <w:kern w:val="0"/>
          <w:sz w:val="24"/>
          <w:lang w:val="en-US" w:eastAsia="zh-CN" w:bidi="ar"/>
        </w:rPr>
        <w:t xml:space="preserve">    </w:t>
      </w:r>
      <w:r>
        <w:rPr>
          <w:rFonts w:hint="eastAsia" w:ascii="仿宋" w:hAnsi="仿宋" w:eastAsia="仿宋" w:cs="仿宋"/>
          <w:kern w:val="0"/>
          <w:sz w:val="24"/>
          <w:lang w:bidi="ar"/>
        </w:rPr>
        <w:t> 乙方：上银理财有限责任公司</w:t>
      </w:r>
    </w:p>
    <w:p>
      <w:pPr>
        <w:widowControl/>
        <w:spacing w:line="360" w:lineRule="auto"/>
        <w:jc w:val="left"/>
        <w:rPr>
          <w:rFonts w:ascii="楷体_GB2312" w:hAnsi="宋体" w:eastAsia="楷体_GB2312"/>
          <w:b/>
          <w:bCs/>
          <w:szCs w:val="21"/>
        </w:rPr>
      </w:pPr>
      <w:r>
        <w:rPr>
          <w:rFonts w:hint="eastAsia" w:ascii="仿宋" w:hAnsi="仿宋" w:eastAsia="仿宋" w:cs="仿宋"/>
          <w:kern w:val="0"/>
          <w:sz w:val="24"/>
          <w:lang w:bidi="ar"/>
        </w:rPr>
        <w:t>签署日期：</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年</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月</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日</w:t>
      </w:r>
    </w:p>
    <w:p>
      <w:pPr>
        <w:widowControl/>
        <w:spacing w:line="360" w:lineRule="auto"/>
        <w:jc w:val="left"/>
        <w:rPr>
          <w:rFonts w:ascii="楷体_GB2312" w:hAnsi="宋体" w:eastAsia="楷体_GB2312"/>
          <w:b/>
          <w:bCs/>
          <w:szCs w:val="21"/>
        </w:rPr>
      </w:pPr>
    </w:p>
    <w:p>
      <w:r>
        <w:br w:type="page"/>
      </w:r>
    </w:p>
    <w:p>
      <w:pPr>
        <w:spacing w:line="460" w:lineRule="exact"/>
        <w:outlineLvl w:val="1"/>
        <w:rPr>
          <w:rFonts w:ascii="宋体" w:hAnsi="宋体"/>
          <w:sz w:val="24"/>
          <w:highlight w:val="none"/>
        </w:rPr>
      </w:pPr>
      <w:r>
        <w:rPr>
          <w:rFonts w:hint="eastAsia" w:ascii="宋体" w:hAnsi="宋体"/>
          <w:sz w:val="24"/>
          <w:highlight w:val="none"/>
        </w:rPr>
        <w:t>附件</w:t>
      </w:r>
      <w:r>
        <w:rPr>
          <w:rFonts w:ascii="宋体" w:hAnsi="宋体"/>
          <w:sz w:val="24"/>
          <w:highlight w:val="none"/>
        </w:rPr>
        <w:t>：</w:t>
      </w:r>
    </w:p>
    <w:p>
      <w:pPr>
        <w:widowControl/>
        <w:spacing w:line="460" w:lineRule="exact"/>
        <w:jc w:val="center"/>
        <w:outlineLvl w:val="0"/>
        <w:rPr>
          <w:rFonts w:ascii="仿宋_GB2312" w:eastAsia="仿宋_GB2312"/>
          <w:b/>
          <w:color w:val="000000"/>
          <w:sz w:val="28"/>
          <w:szCs w:val="28"/>
          <w:highlight w:val="none"/>
        </w:rPr>
      </w:pPr>
      <w:r>
        <w:rPr>
          <w:rFonts w:hint="eastAsia" w:ascii="黑体" w:eastAsia="黑体"/>
          <w:b/>
          <w:sz w:val="32"/>
          <w:szCs w:val="32"/>
          <w:highlight w:val="none"/>
        </w:rPr>
        <w:t>上银理财有限责任公司理财产品投资者权益须知</w:t>
      </w:r>
    </w:p>
    <w:p>
      <w:pPr>
        <w:spacing w:line="460" w:lineRule="exact"/>
        <w:ind w:firstLine="562" w:firstLineChars="200"/>
        <w:jc w:val="center"/>
        <w:rPr>
          <w:rFonts w:ascii="仿宋_GB2312" w:eastAsia="仿宋_GB2312"/>
          <w:b/>
          <w:color w:val="000000"/>
          <w:sz w:val="28"/>
          <w:szCs w:val="28"/>
          <w:highlight w:val="none"/>
        </w:rPr>
      </w:pPr>
      <w:r>
        <w:rPr>
          <w:rFonts w:hint="eastAsia" w:ascii="仿宋_GB2312" w:eastAsia="仿宋_GB2312"/>
          <w:b/>
          <w:color w:val="000000"/>
          <w:sz w:val="28"/>
          <w:szCs w:val="28"/>
          <w:highlight w:val="none"/>
        </w:rPr>
        <w:t>（适用于个人投资者）</w:t>
      </w:r>
    </w:p>
    <w:p>
      <w:pPr>
        <w:spacing w:line="460" w:lineRule="exact"/>
        <w:rPr>
          <w:rFonts w:ascii="仿宋_GB2312" w:eastAsia="仿宋_GB2312"/>
          <w:color w:val="000000"/>
          <w:sz w:val="28"/>
          <w:szCs w:val="28"/>
          <w:highlight w:val="none"/>
        </w:rPr>
      </w:pPr>
      <w:r>
        <w:rPr>
          <w:rFonts w:hint="eastAsia" w:ascii="仿宋_GB2312" w:eastAsia="仿宋_GB2312"/>
          <w:b/>
          <w:bCs/>
          <w:color w:val="000000"/>
          <w:sz w:val="28"/>
          <w:szCs w:val="28"/>
          <w:highlight w:val="none"/>
        </w:rPr>
        <w:t>尊敬的个人投资者：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感谢您购买上银理财有限责任公司（以下简称“上银理财”）发行的理财产品，为保护您的合法权益，请您在投资前仔细阅读《投资者权益须知》，行使您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您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（一）提供与有效身份证件户名一致的本人银行储蓄卡，作为“授权指定账户”用于本理财产品的资金的划转及兑付；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（二）接受并完成销售机构对您的风险承受能力评估，并根据风险评估结果</w:t>
      </w:r>
      <w:r>
        <w:rPr>
          <w:rFonts w:hint="eastAsia" w:ascii="仿宋_GB2312" w:eastAsia="仿宋_GB2312"/>
          <w:b/>
          <w:bCs/>
          <w:color w:val="000000"/>
          <w:sz w:val="28"/>
          <w:szCs w:val="28"/>
          <w:highlight w:val="none"/>
        </w:rPr>
        <w:t>选择与您自身风险承受能力相匹配的理财产品</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（三）仔细阅读并确认《产品说明书》、《风险揭示书》、《投资者权益须知》、《投资协议书》、《代理销售协议书》以及其他有关文件（如有），签署相关销售文件，并办理购买手续。</w:t>
      </w:r>
    </w:p>
    <w:p>
      <w:pPr>
        <w:spacing w:line="460" w:lineRule="exact"/>
        <w:ind w:firstLine="562" w:firstLineChars="20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二、投资者风险承受能力评估</w:t>
      </w:r>
    </w:p>
    <w:p>
      <w:pPr>
        <w:spacing w:line="460" w:lineRule="exact"/>
        <w:ind w:firstLine="560" w:firstLineChars="200"/>
        <w:outlineLvl w:val="1"/>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为了准确地了解和评估您的投资需求，请您首次购买理财产品前，通过销售机构进行有效风险承受能力的评估。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在风险评估有效期内（风险评估后一年以内），如您的财务状况发生变化或发生可能影响您自身风险承受能力的情形，请您在再次购买理财产品前重新进行风险评估。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在风险评估有效期过后（风险评估一年以后），若您再次购买理财产品，需重新进行风险评估。</w:t>
      </w:r>
    </w:p>
    <w:p>
      <w:pPr>
        <w:spacing w:line="460" w:lineRule="exact"/>
        <w:ind w:firstLine="560" w:firstLineChars="200"/>
        <w:rPr>
          <w:rFonts w:ascii="仿宋_GB2312" w:eastAsia="仿宋_GB2312"/>
          <w:bCs/>
          <w:color w:val="000000"/>
          <w:sz w:val="28"/>
          <w:szCs w:val="28"/>
          <w:highlight w:val="none"/>
        </w:rPr>
      </w:pPr>
      <w:r>
        <w:rPr>
          <w:rFonts w:hint="eastAsia" w:ascii="仿宋_GB2312" w:eastAsia="仿宋_GB2312"/>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Cs/>
          <w:color w:val="000000"/>
          <w:sz w:val="28"/>
          <w:szCs w:val="28"/>
          <w:highlight w:val="none"/>
        </w:rPr>
        <w:t>如遇上述场景，请您通过</w:t>
      </w:r>
      <w:r>
        <w:rPr>
          <w:rFonts w:hint="eastAsia" w:ascii="仿宋_GB2312" w:eastAsia="仿宋_GB2312"/>
          <w:b w:val="0"/>
          <w:bCs/>
          <w:color w:val="000000"/>
          <w:sz w:val="28"/>
          <w:szCs w:val="28"/>
          <w:highlight w:val="none"/>
        </w:rPr>
        <w:t>销售机构进行风险承受能力评估，填写销售机构个人客户风险评估问卷，得出投资风险评估结果（即投资者风险类型）及适合度匹配结果并对销售机构个人客户风险评估结果确认书进行确认。</w:t>
      </w:r>
    </w:p>
    <w:p>
      <w:pPr>
        <w:spacing w:line="460" w:lineRule="exact"/>
        <w:ind w:firstLine="562" w:firstLineChars="200"/>
        <w:outlineLvl w:val="1"/>
        <w:rPr>
          <w:rFonts w:ascii="仿宋_GB2312" w:eastAsia="仿宋_GB2312"/>
          <w:color w:val="000000"/>
          <w:sz w:val="28"/>
          <w:szCs w:val="28"/>
          <w:highlight w:val="none"/>
        </w:rPr>
      </w:pPr>
      <w:r>
        <w:rPr>
          <w:rFonts w:hint="eastAsia" w:ascii="仿宋_GB2312" w:eastAsia="仿宋_GB2312"/>
          <w:b/>
          <w:bCs/>
          <w:color w:val="000000"/>
          <w:sz w:val="28"/>
          <w:szCs w:val="28"/>
          <w:highlight w:val="none"/>
        </w:rPr>
        <w:t>三、评级具体含义以及适合购买的理财产品</w:t>
      </w:r>
    </w:p>
    <w:p>
      <w:pPr>
        <w:spacing w:line="460" w:lineRule="exact"/>
        <w:ind w:firstLine="560" w:firstLineChars="200"/>
        <w:rPr>
          <w:rFonts w:hint="default" w:ascii="仿宋_GB2312" w:eastAsia="仿宋_GB2312"/>
          <w:color w:val="000000"/>
          <w:sz w:val="28"/>
          <w:szCs w:val="28"/>
          <w:highlight w:val="none"/>
          <w:lang w:val="en-US" w:eastAsia="zh-CN"/>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销售机构对您的风险承受能力评估结果与上银理财不一致的，销售机构应当按照孰低原则采用并披露，具体以销售机构最终展示为准。</w:t>
      </w:r>
    </w:p>
    <w:p>
      <w:pPr>
        <w:spacing w:line="460" w:lineRule="exact"/>
        <w:ind w:firstLine="560" w:firstLineChars="200"/>
        <w:rPr>
          <w:rFonts w:ascii="仿宋_GB2312" w:eastAsia="仿宋"/>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同时销售机构可能另行建立投资者风险承受能力和理财产品风险等级的匹配规则，请您留意。</w:t>
      </w:r>
      <w:r>
        <w:rPr>
          <w:rFonts w:hint="eastAsia" w:ascii="仿宋_GB2312" w:eastAsia="仿宋_GB2312"/>
          <w:color w:val="000000"/>
          <w:sz w:val="28"/>
          <w:szCs w:val="28"/>
          <w:highlight w:val="none"/>
        </w:rPr>
        <w:t>请您根据您的风险承受能力评估结果选择与您风险承受能力相匹配的理财产品。您的风险承受能力评估结果应以您在购买理财产品前的最近一次有效评估结果为准</w:t>
      </w:r>
      <w:r>
        <w:rPr>
          <w:rFonts w:hint="eastAsia" w:ascii="仿宋_GB2312" w:eastAsia="仿宋_GB2312"/>
          <w:b/>
          <w:bCs/>
          <w:color w:val="000000"/>
          <w:sz w:val="28"/>
          <w:szCs w:val="28"/>
          <w:highlight w:val="none"/>
        </w:rPr>
        <w:t>。</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重要提示：请您认真阅读《风险揭示书》中的风险提示部分，并充分知晓产品风险。您一旦做出投资决策，应自行承担产品运营过程中产生的风险。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您在发行期内购买理财产品时，销售机构将冻结您“授权指定账户”内的购买金额，并按照约定时间划转至产品发行人指定账户。自购买日至划款日（不含）之间您购买产品的本金金额产生的活期利息将留存在您“授权指定账户”内。</w:t>
      </w:r>
    </w:p>
    <w:p>
      <w:pPr>
        <w:pStyle w:val="14"/>
        <w:spacing w:line="460" w:lineRule="exact"/>
        <w:ind w:firstLine="562" w:firstLineChars="200"/>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您购买的产品为私募理财，则产品设有投资冷静期。在投资冷静期内，如您改变决定，销售机构将遵从您的意愿，解除已签订的销售文件，并按照产品说明书的约定退还您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w:t>
      </w:r>
      <w:r>
        <w:rPr>
          <w:rFonts w:hint="eastAsia" w:ascii="仿宋_GB2312" w:eastAsia="仿宋_GB2312"/>
          <w:b/>
          <w:bCs/>
          <w:color w:val="000000"/>
          <w:sz w:val="28"/>
          <w:szCs w:val="28"/>
          <w:highlight w:val="none"/>
        </w:rPr>
        <w:t>您在理财产品持有期间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的理财产品与您自身风险承受能力</w:t>
      </w:r>
      <w:r>
        <w:rPr>
          <w:rFonts w:hint="eastAsia" w:ascii="仿宋_GB2312" w:eastAsia="仿宋_GB2312"/>
          <w:b/>
          <w:bCs/>
          <w:color w:val="000000"/>
          <w:sz w:val="28"/>
          <w:szCs w:val="28"/>
          <w:highlight w:val="none"/>
          <w:lang w:val="en-US" w:eastAsia="zh-CN"/>
        </w:rPr>
        <w:t>匹配情况的变动。</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可以依照已签署的理财产品销售文件的约定及时行使赎回权利赎回理财产品份额</w:t>
      </w:r>
      <w:r>
        <w:rPr>
          <w:rStyle w:val="11"/>
          <w:rFonts w:hint="eastAsia" w:ascii="仿宋_GB2312" w:eastAsia="仿宋_GB2312"/>
          <w:b/>
          <w:bCs/>
          <w:color w:val="000000"/>
          <w:sz w:val="28"/>
          <w:szCs w:val="28"/>
          <w:highlight w:val="none"/>
          <w:lang w:eastAsia="zh-CN"/>
        </w:rPr>
        <w:t>。</w:t>
      </w:r>
    </w:p>
    <w:p>
      <w:pPr>
        <w:pStyle w:val="14"/>
        <w:numPr>
          <w:ilvl w:val="0"/>
          <w:numId w:val="6"/>
        </w:numPr>
        <w:spacing w:line="460" w:lineRule="exact"/>
        <w:ind w:firstLine="562" w:firstLineChars="200"/>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7"/>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7"/>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五、理财产品兑付/赎回</w:t>
      </w:r>
    </w:p>
    <w:p>
      <w:pPr>
        <w:spacing w:line="460" w:lineRule="exact"/>
        <w:ind w:firstLine="560" w:firstLineChars="200"/>
        <w:jc w:val="left"/>
        <w:outlineLvl w:val="0"/>
        <w:rPr>
          <w:rFonts w:hint="eastAsia" w:ascii="仿宋_GB2312" w:eastAsia="仿宋_GB2312"/>
          <w:bCs/>
          <w:color w:val="000000"/>
          <w:sz w:val="28"/>
          <w:szCs w:val="28"/>
          <w:highlight w:val="none"/>
        </w:rPr>
      </w:pPr>
      <w:r>
        <w:rPr>
          <w:rFonts w:hint="eastAsia" w:ascii="仿宋_GB2312" w:eastAsia="仿宋_GB2312"/>
          <w:bCs/>
          <w:color w:val="000000"/>
          <w:sz w:val="28"/>
          <w:szCs w:val="28"/>
          <w:highlight w:val="none"/>
        </w:rPr>
        <w:t>理财产品到期可兑付金额由产品发行人按照产品说明书的约定，在理财产品清算日通过销售机构分配至您的授权指定账户内。</w:t>
      </w:r>
    </w:p>
    <w:p>
      <w:pPr>
        <w:spacing w:line="460" w:lineRule="exact"/>
        <w:ind w:firstLine="560" w:firstLineChars="200"/>
        <w:jc w:val="left"/>
        <w:outlineLvl w:val="0"/>
        <w:rPr>
          <w:rFonts w:ascii="仿宋_GB2312" w:eastAsia="仿宋_GB2312"/>
          <w:b/>
          <w:color w:val="000000"/>
          <w:sz w:val="28"/>
          <w:szCs w:val="28"/>
          <w:highlight w:val="none"/>
        </w:rPr>
      </w:pPr>
      <w:r>
        <w:rPr>
          <w:rFonts w:hint="eastAsia" w:ascii="仿宋_GB2312" w:eastAsia="仿宋_GB2312"/>
          <w:bCs/>
          <w:color w:val="000000"/>
          <w:sz w:val="28"/>
          <w:szCs w:val="28"/>
          <w:highlight w:val="none"/>
        </w:rPr>
        <w:t>理财产品是否可赎回及赎回规则按照理财产品销售文件的约定执行。您可在理财产品销售文件约定的赎回条件下，通过销售机构及理财产品销售文件中约定的其它渠道，赎回理财产品。</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六、信息披露</w:t>
      </w:r>
    </w:p>
    <w:p>
      <w:pPr>
        <w:adjustRightInd w:val="0"/>
        <w:snapToGrid w:val="0"/>
        <w:spacing w:line="460" w:lineRule="exact"/>
        <w:ind w:firstLine="560" w:firstLineChars="200"/>
        <w:jc w:val="left"/>
        <w:rPr>
          <w:rFonts w:ascii="仿宋_GB2312" w:eastAsia="仿宋_GB2312"/>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numPr>
          <w:ilvl w:val="255"/>
          <w:numId w:val="0"/>
        </w:numPr>
        <w:adjustRightInd w:val="0"/>
        <w:snapToGrid w:val="0"/>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七、投诉与联络方式</w:t>
      </w:r>
    </w:p>
    <w:p>
      <w:pPr>
        <w:adjustRightInd w:val="0"/>
        <w:snapToGrid w:val="0"/>
        <w:spacing w:line="460" w:lineRule="exac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 xml:space="preserve">    </w:t>
      </w:r>
      <w:r>
        <w:rPr>
          <w:rFonts w:hint="eastAsia" w:ascii="仿宋_GB2312" w:eastAsia="仿宋_GB2312"/>
          <w:color w:val="000000"/>
          <w:sz w:val="28"/>
          <w:szCs w:val="28"/>
          <w:highlight w:val="none"/>
        </w:rPr>
        <w:t>如您对本产品有任何意见或建议，可通过销售机构营业网点工作人员，销售机构、上银理财客户服务热线、官方网站或其他官方渠道进行反映，将由专人接听、记录您的意见或建议，并由各方协商共同解决。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ind w:firstLine="560" w:firstLineChars="200"/>
        <w:jc w:val="right"/>
        <w:rPr>
          <w:rFonts w:ascii="仿宋_GB2312" w:hAnsi="宋体" w:eastAsia="仿宋_GB2312" w:cs="宋体"/>
          <w:color w:val="000000"/>
          <w:sz w:val="28"/>
          <w:szCs w:val="28"/>
          <w:highlight w:val="none"/>
        </w:rPr>
      </w:pPr>
    </w:p>
    <w:p>
      <w:pPr>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br w:type="page"/>
      </w:r>
    </w:p>
    <w:p>
      <w:pPr>
        <w:jc w:val="center"/>
        <w:rPr>
          <w:rFonts w:asciiTheme="minorEastAsia" w:hAnsiTheme="minorEastAsia" w:cstheme="minorEastAsia"/>
          <w:bCs/>
          <w:sz w:val="24"/>
          <w:szCs w:val="21"/>
          <w:highlight w:val="none"/>
        </w:rPr>
      </w:pPr>
      <w:r>
        <w:rPr>
          <w:rFonts w:hint="eastAsia" w:ascii="黑体" w:eastAsia="黑体"/>
          <w:b/>
          <w:sz w:val="32"/>
          <w:szCs w:val="32"/>
          <w:highlight w:val="none"/>
        </w:rPr>
        <w:t>上银理财有限责任公司理财产品投资者权益须知</w:t>
      </w:r>
    </w:p>
    <w:p>
      <w:pPr>
        <w:jc w:val="center"/>
        <w:rPr>
          <w:rFonts w:asciiTheme="minorEastAsia" w:hAnsiTheme="minorEastAsia" w:cstheme="minorEastAsia"/>
          <w:b/>
          <w:sz w:val="28"/>
          <w:highlight w:val="none"/>
        </w:rPr>
      </w:pPr>
      <w:r>
        <w:rPr>
          <w:rFonts w:hint="eastAsia" w:asciiTheme="minorEastAsia" w:hAnsiTheme="minorEastAsia" w:cstheme="minorEastAsia"/>
          <w:b/>
          <w:sz w:val="28"/>
          <w:highlight w:val="none"/>
        </w:rPr>
        <w:t>（适用于机构投资者）</w:t>
      </w:r>
    </w:p>
    <w:p>
      <w:pPr>
        <w:autoSpaceDE w:val="0"/>
        <w:autoSpaceDN w:val="0"/>
        <w:adjustRightInd w:val="0"/>
        <w:spacing w:line="460" w:lineRule="exact"/>
        <w:rPr>
          <w:rFonts w:ascii="仿宋_GB2312" w:eastAsia="仿宋_GB2312"/>
          <w:color w:val="000000"/>
          <w:sz w:val="28"/>
          <w:szCs w:val="28"/>
          <w:highlight w:val="none"/>
        </w:rPr>
      </w:pPr>
      <w:r>
        <w:rPr>
          <w:rFonts w:hint="eastAsia" w:ascii="仿宋_GB2312" w:eastAsia="仿宋_GB2312"/>
          <w:color w:val="000000"/>
          <w:sz w:val="28"/>
          <w:szCs w:val="28"/>
          <w:highlight w:val="none"/>
        </w:rPr>
        <w:t>尊敬的机构投资者：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autoSpaceDE w:val="0"/>
        <w:autoSpaceDN w:val="0"/>
        <w:adjustRightInd w:val="0"/>
        <w:spacing w:line="460" w:lineRule="exact"/>
        <w:ind w:firstLine="560"/>
        <w:rPr>
          <w:rFonts w:asciiTheme="minorEastAsia" w:hAnsiTheme="minorEastAsia" w:cstheme="minorEastAsia"/>
          <w:b/>
          <w:color w:val="000000"/>
          <w:kern w:val="0"/>
          <w:szCs w:val="21"/>
          <w:highlight w:val="none"/>
        </w:rPr>
      </w:pPr>
      <w:r>
        <w:rPr>
          <w:rFonts w:hint="eastAsia" w:ascii="仿宋_GB2312" w:eastAsia="仿宋_GB2312"/>
          <w:color w:val="000000"/>
          <w:sz w:val="28"/>
          <w:szCs w:val="28"/>
          <w:highlight w:val="none"/>
        </w:rPr>
        <w:t>感谢贵机构购买上银理财有限责任公司（以下简称“上银理财”）发行的理财产品，为保护贵机构的合法权益，请在投资前仔细阅读《投资者权益须知》，行使贵机构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贵机构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（一）首次认购前，贵机构应在销售机构及/或其分支机构开立人民币结算账户，并指定其为购买理财产品的“授权指定账户”用于本理财产品的资金划转及兑付；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首次认购时，如在销售机构营业网点进行签约的，贵机构需持《企业（法人）营业执照》原件及加盖公章的复印件、《组织机构代码证》原件及加盖公章的复印件（三证合一的客户仅需携带营业执照）、企业经办人员有效身份证件原件及复印件，企业经办人员不是企业法定代表人本人的，还应提供企业法定代表人出具并加盖企业公章的《授权委托书》等材料至销售机构营业网点，接受并完成产品销售机构对贵机构的风险承受能力评估，并根据风险评估结果选择与贵机构风险承受能力相匹配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（三）仔细阅读《产品说明书》、《风险揭示书》、《投资者权益须知》、《投资协议书》、《代理销售协议书》以及其他有关文件（如有），签署相关销售文件，并办理购买手续；</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四）贵机构完成认购后，销售机构实时冻结贵机构授权指定账户内的认购金额，并按照产品说明书约定划至指定账户，实际划款金额为贵机构认购产品的本金金额。认购资金成功扣款且产品成立后，贵机构可通过理财产品说明书约定的渠道查询理财产品份额。如理财产品募集失败，贵机构相应冻结资金由销售机构予以解冻，并按销售机构公布的活期存款利率计付相应利息。</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color w:val="000000"/>
          <w:sz w:val="28"/>
          <w:szCs w:val="28"/>
          <w:highlight w:val="none"/>
        </w:rPr>
        <w:t>二、投资者风险承受能力评估</w:t>
      </w:r>
    </w:p>
    <w:p>
      <w:pPr>
        <w:pStyle w:val="14"/>
        <w:spacing w:line="460" w:lineRule="exact"/>
        <w:ind w:firstLine="420" w:firstLineChars="150"/>
        <w:jc w:val="both"/>
        <w:rPr>
          <w:rFonts w:asciiTheme="minorEastAsia" w:hAnsiTheme="minorEastAsia" w:eastAsiaTheme="minorEastAsia" w:cstheme="minorEastAsia"/>
          <w:szCs w:val="21"/>
          <w:highlight w:val="none"/>
        </w:rPr>
      </w:pPr>
      <w:r>
        <w:rPr>
          <w:rFonts w:hint="eastAsia" w:ascii="仿宋_GB2312" w:eastAsia="仿宋_GB2312" w:cstheme="minorBidi"/>
          <w:kern w:val="2"/>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为了准确地了解和评估贵机构的投资需求，请贵机构首次购买理财产品前，通过销售机构进行有效风险承受能力的评估。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在风险评估有效期内（风险评估后一年以内），如贵机构的财务状况发生变化或发生可能影响贵机构自身风险承受能力的情形，请贵机构在再次购买理财产品前，重新通过销售机构进行风险评估。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在风险评估有效期过后（风险评估一年以后），若贵机构再次购买理财产品，需重新通过销售机构进行风险评估。</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如遇上述场景，请贵机构通过销售机构进行风险承受能力评估，填写销售机构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客户风险评估问卷，得出投资风险评估结果（即</w:t>
      </w:r>
      <w:r>
        <w:rPr>
          <w:rFonts w:hint="eastAsia" w:ascii="仿宋_GB2312" w:eastAsia="仿宋_GB2312"/>
          <w:bCs/>
          <w:color w:val="000000"/>
          <w:sz w:val="28"/>
          <w:szCs w:val="28"/>
          <w:highlight w:val="none"/>
        </w:rPr>
        <w:t>投资者风险</w:t>
      </w:r>
      <w:r>
        <w:rPr>
          <w:rFonts w:hint="eastAsia" w:ascii="仿宋_GB2312" w:eastAsia="仿宋_GB2312"/>
          <w:b w:val="0"/>
          <w:bCs/>
          <w:color w:val="000000"/>
          <w:sz w:val="28"/>
          <w:szCs w:val="28"/>
          <w:highlight w:val="none"/>
        </w:rPr>
        <w:t>类型）及适合度匹配结果并对销售机构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客户风险评估结果确认书进行确认。</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对于专业投资者、合格投资者的适当性要求及认定流程，以销售机构为准。</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三、</w:t>
      </w:r>
      <w:r>
        <w:rPr>
          <w:rFonts w:hint="eastAsia" w:ascii="仿宋_GB2312" w:eastAsia="仿宋_GB2312"/>
          <w:b/>
          <w:bCs/>
          <w:sz w:val="28"/>
          <w:szCs w:val="28"/>
          <w:highlight w:val="none"/>
        </w:rPr>
        <w:t>评级具体含义以及适合购买的理财产品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销售机构对贵机构的风险承受能力评估结果与上银理财不一致的，销售机构应当按照孰低原则采用并披露，以销售机构最终展示为准。</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autoSpaceDE w:val="0"/>
        <w:autoSpaceDN w:val="0"/>
        <w:adjustRightInd w:val="0"/>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同时销售机构可能另行建立投资者风险承受能力和理财产品风险等级的匹配规则，请贵机构留意。</w:t>
      </w:r>
      <w:r>
        <w:rPr>
          <w:rFonts w:hint="eastAsia" w:ascii="仿宋_GB2312" w:eastAsia="仿宋_GB2312"/>
          <w:color w:val="000000"/>
          <w:sz w:val="28"/>
          <w:szCs w:val="28"/>
          <w:highlight w:val="none"/>
        </w:rPr>
        <w:t>请贵机构根据贵机构的风险承受能力评估结果选择与贵机构风险承受能力相匹配的理财产品。贵机构的风险承受能力评估结果应以贵机构在购买理财产品前的最近一次有效评估结果为准。</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重要提示：请贵机构认真阅读《风险揭示书》中的风险提示部分，并充分知晓产品风险。贵机构一旦做出投资决策，应自行承担产品运营过程中产生的风险。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贵机构在发行期内购买理财产品时，销售机构将冻结贵机构“授权指定账户”内的购买金额，并按照约定时间划转至产品发行人指定账户。自购买日至划款日（不含）之间贵机构购买产品的本金金额产生的活期利息将留存在贵机构“授权指定账户”内。</w:t>
      </w:r>
    </w:p>
    <w:p>
      <w:pPr>
        <w:pStyle w:val="14"/>
        <w:spacing w:line="460" w:lineRule="exact"/>
        <w:ind w:firstLine="562" w:firstLineChars="200"/>
        <w:jc w:val="both"/>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贵机构购买的产品为私募理财，则产品设有投资冷静期。在投资冷静期内，如贵机构改变决定，销售机构将遵从贵机构的意愿，解除已签订的销售文件，并按照产品说明书的约定退还贵机构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请贵机构</w:t>
      </w:r>
      <w:r>
        <w:rPr>
          <w:rFonts w:hint="eastAsia" w:ascii="仿宋_GB2312" w:eastAsia="仿宋_GB2312"/>
          <w:b/>
          <w:bCs/>
          <w:color w:val="000000"/>
          <w:sz w:val="28"/>
          <w:szCs w:val="28"/>
          <w:highlight w:val="none"/>
        </w:rPr>
        <w:t>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w:t>
      </w:r>
      <w:r>
        <w:rPr>
          <w:rFonts w:hint="eastAsia" w:ascii="仿宋_GB2312" w:eastAsia="仿宋_GB2312"/>
          <w:b/>
          <w:bCs/>
          <w:color w:val="000000"/>
          <w:sz w:val="28"/>
          <w:szCs w:val="28"/>
          <w:highlight w:val="none"/>
          <w:lang w:val="en-US" w:eastAsia="zh-CN"/>
        </w:rPr>
        <w:t>贵机构</w:t>
      </w:r>
      <w:r>
        <w:rPr>
          <w:rFonts w:hint="eastAsia" w:ascii="仿宋_GB2312" w:eastAsia="仿宋_GB2312"/>
          <w:b/>
          <w:bCs/>
          <w:color w:val="000000"/>
          <w:sz w:val="28"/>
          <w:szCs w:val="28"/>
          <w:highlight w:val="none"/>
        </w:rPr>
        <w:t>风险承受能力</w:t>
      </w:r>
      <w:r>
        <w:rPr>
          <w:rFonts w:hint="eastAsia" w:ascii="仿宋_GB2312" w:eastAsia="仿宋_GB2312"/>
          <w:b/>
          <w:bCs/>
          <w:color w:val="000000"/>
          <w:sz w:val="28"/>
          <w:szCs w:val="28"/>
          <w:highlight w:val="none"/>
          <w:lang w:val="en-US" w:eastAsia="zh-CN"/>
        </w:rPr>
        <w:t>匹配情况的变动。贵机构可以依照已签署的理财产品销售文件的约定及时行使赎回权利赎回理财产品份额</w:t>
      </w:r>
      <w:r>
        <w:rPr>
          <w:rFonts w:hint="eastAsia" w:ascii="仿宋_GB2312" w:eastAsia="仿宋_GB2312"/>
          <w:b/>
          <w:bCs/>
          <w:color w:val="000000"/>
          <w:sz w:val="28"/>
          <w:szCs w:val="28"/>
          <w:highlight w:val="none"/>
          <w:lang w:eastAsia="zh-CN"/>
        </w:rPr>
        <w:t>。</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四、投资者的权利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8"/>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8"/>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autoSpaceDE w:val="0"/>
        <w:autoSpaceDN w:val="0"/>
        <w:adjustRightInd w:val="0"/>
        <w:spacing w:line="460" w:lineRule="exact"/>
        <w:ind w:firstLine="562" w:firstLineChars="200"/>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五、理财产品兑付/赎回</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理财产品到期可兑付金额由产品发行人按照产品说明书的约定，在理财产品清算日通过销售机构分配至贵机构的授权指定账户内。</w:t>
      </w:r>
    </w:p>
    <w:p>
      <w:pPr>
        <w:pStyle w:val="14"/>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理财产品是否可赎回及赎回规则按照理财产品销售文件的约定执行。贵机构可在理财产品销售文件约定的赎回条件下，通过销售机构营业网点及理财产品销售文件中约定的其它渠道，赎回理财产品。</w:t>
      </w:r>
    </w:p>
    <w:p>
      <w:pPr>
        <w:autoSpaceDE w:val="0"/>
        <w:autoSpaceDN w:val="0"/>
        <w:adjustRightInd w:val="0"/>
        <w:spacing w:line="460" w:lineRule="exact"/>
        <w:ind w:firstLine="562" w:firstLineChars="200"/>
        <w:jc w:val="left"/>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 xml:space="preserve">六、信息披露 </w:t>
      </w:r>
    </w:p>
    <w:p>
      <w:pPr>
        <w:autoSpaceDE w:val="0"/>
        <w:autoSpaceDN w:val="0"/>
        <w:adjustRightInd w:val="0"/>
        <w:spacing w:line="460" w:lineRule="exact"/>
        <w:ind w:firstLine="560" w:firstLineChars="200"/>
        <w:jc w:val="left"/>
        <w:rPr>
          <w:rFonts w:ascii="仿宋_GB2312" w:eastAsia="仿宋_GB2312"/>
          <w:b/>
          <w:bCs/>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autoSpaceDE w:val="0"/>
        <w:autoSpaceDN w:val="0"/>
        <w:adjustRightInd w:val="0"/>
        <w:spacing w:line="460" w:lineRule="exact"/>
        <w:ind w:firstLine="562" w:firstLineChars="200"/>
        <w:jc w:val="lef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w:t>
      </w:r>
      <w:r>
        <w:rPr>
          <w:rFonts w:hint="eastAsia" w:ascii="仿宋_GB2312" w:eastAsia="仿宋_GB2312"/>
          <w:b/>
          <w:bCs/>
          <w:color w:val="000000"/>
          <w:sz w:val="28"/>
          <w:szCs w:val="28"/>
          <w:highlight w:val="none"/>
          <w:lang w:val="en-US" w:eastAsia="zh-CN"/>
        </w:rPr>
        <w:t>联络</w:t>
      </w:r>
      <w:r>
        <w:rPr>
          <w:rFonts w:hint="eastAsia" w:ascii="仿宋_GB2312" w:eastAsia="仿宋_GB2312"/>
          <w:b/>
          <w:bCs/>
          <w:color w:val="000000"/>
          <w:sz w:val="28"/>
          <w:szCs w:val="28"/>
          <w:highlight w:val="none"/>
        </w:rPr>
        <w:t>方式</w:t>
      </w:r>
    </w:p>
    <w:p>
      <w:pPr>
        <w:adjustRightInd w:val="0"/>
        <w:snapToGrid w:val="0"/>
        <w:spacing w:line="460" w:lineRule="exact"/>
        <w:ind w:firstLine="420"/>
        <w:rPr>
          <w:rFonts w:ascii="仿宋_GB2312" w:eastAsia="仿宋_GB2312"/>
          <w:b/>
          <w:bCs/>
          <w:color w:val="000000"/>
          <w:sz w:val="28"/>
          <w:szCs w:val="28"/>
          <w:highlight w:val="none"/>
        </w:rPr>
      </w:pPr>
      <w:r>
        <w:rPr>
          <w:rFonts w:hint="eastAsia" w:ascii="仿宋_GB2312" w:eastAsia="仿宋_GB2312"/>
          <w:color w:val="000000"/>
          <w:sz w:val="28"/>
          <w:szCs w:val="28"/>
          <w:highlight w:val="none"/>
        </w:rPr>
        <w:t>如贵机构对本产品有任何意见或建议，可通过销售机构营业网点工作人员，销售机构、上银理财客户服务热线、官方网站或其他官方渠道进行反映，将由专人接听、记录贵机构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jc w:val="right"/>
        <w:rPr>
          <w:rFonts w:ascii="仿宋_GB2312" w:hAnsi="宋体" w:eastAsia="仿宋_GB2312" w:cs="宋体"/>
          <w:color w:val="000000"/>
          <w:sz w:val="28"/>
          <w:szCs w:val="28"/>
          <w:highlight w:val="none"/>
        </w:rPr>
      </w:pPr>
    </w:p>
    <w:p>
      <w:pPr>
        <w:spacing w:line="360" w:lineRule="auto"/>
        <w:ind w:firstLine="315" w:firstLineChars="150"/>
        <w:rPr>
          <w:rFonts w:hint="default" w:asciiTheme="minorEastAsia" w:hAnsiTheme="minorEastAsia" w:cstheme="minorEastAsia"/>
          <w:color w:val="000000"/>
          <w:kern w:val="0"/>
          <w:szCs w:val="21"/>
          <w:lang w:val="en-US" w:eastAsia="zh-CN"/>
        </w:rPr>
      </w:pPr>
    </w:p>
    <w:p>
      <w:pPr>
        <w:spacing w:line="470" w:lineRule="exact"/>
        <w:ind w:firstLine="360" w:firstLineChars="150"/>
        <w:jc w:val="right"/>
        <w:rPr>
          <w:rFonts w:asciiTheme="minorEastAsia" w:hAnsiTheme="minorEastAsia" w:cstheme="minorEastAsia"/>
          <w:color w:val="000000"/>
          <w:kern w:val="0"/>
          <w:sz w:val="24"/>
          <w:szCs w:val="24"/>
        </w:rPr>
      </w:pPr>
    </w:p>
    <w:p>
      <w:pPr>
        <w:rPr>
          <w:rFonts w:hint="eastAsia" w:ascii="仿宋_GB2312" w:hAnsi="宋体" w:eastAsia="仿宋_GB2312" w:cs="宋体"/>
          <w:b w:val="0"/>
          <w:bCs w:val="0"/>
          <w:color w:val="000000"/>
          <w:sz w:val="28"/>
          <w:szCs w:val="28"/>
          <w:highlight w:val="none"/>
          <w:lang w:val="en-US" w:eastAsia="zh-CN"/>
        </w:rPr>
      </w:pPr>
    </w:p>
    <w:p>
      <w:pPr>
        <w:ind w:firstLine="560" w:firstLineChars="200"/>
        <w:rPr>
          <w:rFonts w:hint="eastAsia" w:ascii="仿宋_GB2312" w:hAnsi="宋体" w:eastAsia="仿宋_GB2312" w:cs="宋体"/>
          <w:b w:val="0"/>
          <w:bCs w:val="0"/>
          <w:color w:val="000000"/>
          <w:sz w:val="28"/>
          <w:szCs w:val="28"/>
          <w:highlight w:val="none"/>
          <w:lang w:val="en-US" w:eastAsia="zh-CN"/>
        </w:rPr>
      </w:pPr>
    </w:p>
    <w:p>
      <w:pPr>
        <w:spacing w:line="460" w:lineRule="exact"/>
        <w:jc w:val="center"/>
        <w:outlineLvl w:val="0"/>
        <w:rPr>
          <w:rFonts w:hint="eastAsia" w:ascii="宋体" w:hAnsi="宋体"/>
          <w:b/>
          <w:sz w:val="32"/>
        </w:rPr>
      </w:pPr>
      <w:r>
        <w:rPr>
          <w:rFonts w:hint="eastAsia" w:ascii="仿宋_GB2312" w:hAnsi="宋体" w:eastAsia="仿宋_GB2312" w:cs="宋体"/>
          <w:b w:val="0"/>
          <w:bCs w:val="0"/>
          <w:color w:val="000000"/>
          <w:sz w:val="28"/>
          <w:szCs w:val="28"/>
          <w:highlight w:val="none"/>
          <w:lang w:val="en-US" w:eastAsia="zh-CN"/>
        </w:rPr>
        <w:br w:type="page"/>
      </w:r>
      <w:r>
        <w:rPr>
          <w:rFonts w:hint="eastAsia" w:ascii="宋体" w:hAnsi="宋体"/>
          <w:b/>
          <w:sz w:val="32"/>
        </w:rPr>
        <w:t>代</w:t>
      </w:r>
      <w:r>
        <w:rPr>
          <w:rFonts w:hint="eastAsia" w:ascii="宋体" w:hAnsi="宋体"/>
          <w:b/>
          <w:sz w:val="32"/>
          <w:lang w:val="en-US" w:eastAsia="zh-CN"/>
        </w:rPr>
        <w:t>理销售</w:t>
      </w:r>
      <w:r>
        <w:rPr>
          <w:rFonts w:hint="eastAsia" w:ascii="宋体" w:hAnsi="宋体"/>
          <w:b/>
          <w:sz w:val="32"/>
        </w:rPr>
        <w:t>理财产品协议书</w:t>
      </w:r>
    </w:p>
    <w:p>
      <w:pPr>
        <w:spacing w:line="460" w:lineRule="exact"/>
        <w:jc w:val="center"/>
        <w:outlineLvl w:val="0"/>
        <w:rPr>
          <w:rFonts w:hint="default" w:ascii="宋体" w:hAnsi="宋体" w:eastAsia="宋体"/>
          <w:b/>
          <w:sz w:val="32"/>
          <w:lang w:val="en-US" w:eastAsia="zh-CN"/>
        </w:rPr>
      </w:pPr>
      <w:r>
        <w:rPr>
          <w:rFonts w:hint="eastAsia" w:ascii="宋体" w:hAnsi="宋体"/>
          <w:b/>
          <w:sz w:val="32"/>
          <w:lang w:eastAsia="zh-CN"/>
        </w:rPr>
        <w:t>（</w:t>
      </w:r>
      <w:r>
        <w:rPr>
          <w:rFonts w:hint="eastAsia" w:ascii="宋体" w:hAnsi="宋体"/>
          <w:b/>
          <w:sz w:val="32"/>
          <w:lang w:val="en-US" w:eastAsia="zh-CN"/>
        </w:rPr>
        <w:t>适用于个人客户）</w:t>
      </w:r>
    </w:p>
    <w:p>
      <w:pPr>
        <w:autoSpaceDE w:val="0"/>
        <w:autoSpaceDN w:val="0"/>
        <w:adjustRightInd w:val="0"/>
        <w:snapToGrid w:val="0"/>
        <w:spacing w:line="400" w:lineRule="exact"/>
        <w:rPr>
          <w:rFonts w:ascii="宋体" w:hAnsi="宋体"/>
          <w:b/>
          <w:sz w:val="32"/>
        </w:rPr>
      </w:pPr>
    </w:p>
    <w:p>
      <w:pPr>
        <w:spacing w:line="460" w:lineRule="exact"/>
        <w:ind w:firstLine="482" w:firstLineChars="200"/>
        <w:rPr>
          <w:rFonts w:ascii="宋体" w:hAnsi="宋体"/>
          <w:b/>
          <w:sz w:val="24"/>
        </w:rPr>
      </w:pPr>
    </w:p>
    <w:p>
      <w:pPr>
        <w:spacing w:line="460" w:lineRule="exact"/>
        <w:ind w:firstLine="482" w:firstLineChars="200"/>
        <w:outlineLvl w:val="0"/>
        <w:rPr>
          <w:rFonts w:ascii="宋体" w:hAnsi="宋体"/>
          <w:b/>
          <w:sz w:val="24"/>
        </w:rPr>
      </w:pPr>
      <w:r>
        <w:rPr>
          <w:rFonts w:hint="eastAsia" w:ascii="宋体" w:hAnsi="宋体"/>
          <w:b/>
          <w:sz w:val="24"/>
        </w:rPr>
        <w:t>甲    方：理财产品投资客户</w:t>
      </w:r>
    </w:p>
    <w:p>
      <w:pPr>
        <w:spacing w:line="460" w:lineRule="exact"/>
        <w:ind w:firstLine="482" w:firstLineChars="200"/>
        <w:outlineLvl w:val="1"/>
        <w:rPr>
          <w:rFonts w:hint="default" w:ascii="宋体" w:hAnsi="宋体"/>
          <w:sz w:val="24"/>
          <w:lang w:val="en-US"/>
        </w:rPr>
      </w:pPr>
      <w:r>
        <w:rPr>
          <w:rFonts w:hint="eastAsia" w:ascii="宋体" w:hAnsi="宋体"/>
          <w:b/>
          <w:sz w:val="24"/>
        </w:rPr>
        <w:t>乙    方：</w:t>
      </w:r>
      <w:r>
        <w:rPr>
          <w:rFonts w:hint="eastAsia" w:ascii="宋体" w:hAnsi="宋体"/>
          <w:b/>
          <w:bCs w:val="0"/>
          <w:sz w:val="24"/>
          <w:lang w:val="en-US" w:eastAsia="zh-CN"/>
        </w:rPr>
        <w:t>代理销售机构</w:t>
      </w:r>
    </w:p>
    <w:p>
      <w:pPr>
        <w:spacing w:line="460" w:lineRule="exact"/>
        <w:ind w:firstLine="480" w:firstLineChars="200"/>
        <w:rPr>
          <w:rFonts w:ascii="宋体" w:hAnsi="宋体"/>
          <w:sz w:val="24"/>
        </w:rPr>
      </w:pPr>
    </w:p>
    <w:p>
      <w:pPr>
        <w:spacing w:line="460" w:lineRule="exact"/>
        <w:ind w:firstLine="482" w:firstLineChars="200"/>
        <w:rPr>
          <w:rFonts w:ascii="宋体" w:hAnsi="宋体"/>
          <w:b/>
          <w:bCs/>
          <w:sz w:val="24"/>
        </w:rPr>
      </w:pPr>
      <w:r>
        <w:rPr>
          <w:rFonts w:hint="eastAsia" w:ascii="宋体" w:hAnsi="宋体"/>
          <w:b/>
          <w:bCs/>
          <w:sz w:val="24"/>
        </w:rPr>
        <w:t>特别提示：本协议系</w:t>
      </w:r>
      <w:r>
        <w:rPr>
          <w:rFonts w:hint="eastAsia" w:ascii="宋体" w:hAnsi="宋体"/>
          <w:b/>
          <w:bCs/>
          <w:sz w:val="24"/>
          <w:lang w:val="en-US" w:eastAsia="zh-CN"/>
        </w:rPr>
        <w:t>代理销售机构</w:t>
      </w:r>
      <w:r>
        <w:rPr>
          <w:rFonts w:hint="eastAsia" w:ascii="宋体" w:hAnsi="宋体"/>
          <w:b/>
          <w:bCs/>
          <w:sz w:val="24"/>
        </w:rPr>
        <w:t>（以下简称“乙方”）与理财产品投资客户（以下简称“甲方”）就代销理财产品相关事宜所签订的有效合约。本协议所称的“理财产品”是指经国务院银行业监督管理机构批准成立的商业银行理财子公司</w:t>
      </w:r>
      <w:r>
        <w:rPr>
          <w:rFonts w:hint="eastAsia" w:ascii="宋体" w:hAnsi="宋体"/>
          <w:b/>
          <w:bCs/>
          <w:sz w:val="24"/>
          <w:lang w:eastAsia="zh-CN"/>
        </w:rPr>
        <w:t>（</w:t>
      </w:r>
      <w:r>
        <w:rPr>
          <w:rFonts w:hint="eastAsia" w:ascii="宋体" w:hAnsi="宋体"/>
          <w:b/>
          <w:bCs/>
          <w:sz w:val="24"/>
          <w:lang w:val="en-US" w:eastAsia="zh-CN"/>
        </w:rPr>
        <w:t>以下简称“管理人”）</w:t>
      </w:r>
      <w:r>
        <w:rPr>
          <w:rFonts w:hint="eastAsia" w:ascii="宋体" w:hAnsi="宋体"/>
          <w:b/>
          <w:bCs/>
          <w:sz w:val="24"/>
        </w:rPr>
        <w:t>按照约定条件和实际投资收益情况向投资者支付收益、不保证本金支付和收益水平的非保本理财产品。</w:t>
      </w:r>
    </w:p>
    <w:p>
      <w:pPr>
        <w:spacing w:line="460" w:lineRule="exact"/>
        <w:ind w:firstLine="482" w:firstLineChars="200"/>
        <w:rPr>
          <w:rFonts w:ascii="宋体" w:hAnsi="宋体"/>
          <w:b/>
          <w:bCs/>
          <w:sz w:val="24"/>
        </w:rPr>
      </w:pPr>
      <w:r>
        <w:rPr>
          <w:rFonts w:hint="eastAsia" w:ascii="宋体" w:hAnsi="宋体"/>
          <w:b/>
          <w:bCs/>
          <w:sz w:val="24"/>
        </w:rPr>
        <w:t>甲方在显示本协议的乙方网点、电子渠道（包括但不限于电话银行、网上银行、手机银行、微信银行等渠道，下同）选择签名、点击确认或勾选等方式接受本协议即表示甲方</w:t>
      </w:r>
      <w:r>
        <w:rPr>
          <w:rFonts w:ascii="宋体" w:hAnsi="宋体" w:cs="Arial Unicode MS"/>
          <w:b/>
          <w:bCs/>
          <w:color w:val="000000"/>
          <w:kern w:val="0"/>
          <w:sz w:val="24"/>
        </w:rPr>
        <w:t>承诺清楚知晓、接受并遵守本协议</w:t>
      </w:r>
      <w:r>
        <w:rPr>
          <w:rFonts w:hint="eastAsia" w:ascii="宋体" w:hAnsi="宋体" w:cs="Arial Unicode MS"/>
          <w:b/>
          <w:bCs/>
          <w:color w:val="000000"/>
          <w:kern w:val="0"/>
          <w:sz w:val="24"/>
        </w:rPr>
        <w:t>的</w:t>
      </w:r>
      <w:r>
        <w:rPr>
          <w:rFonts w:hint="eastAsia" w:ascii="宋体" w:hAnsi="宋体"/>
          <w:b/>
          <w:bCs/>
          <w:sz w:val="24"/>
        </w:rPr>
        <w:t>全部约定内容以及与本协议有关的各项规定。如甲方不同意本协议的任意内容，或者无法准确理解乙方对条款的解释，请暂停后续操作并通过</w:t>
      </w:r>
      <w:r>
        <w:rPr>
          <w:rFonts w:hint="eastAsia" w:ascii="宋体" w:hAnsi="宋体"/>
          <w:b/>
          <w:bCs/>
          <w:sz w:val="24"/>
          <w:lang w:val="en-US" w:eastAsia="zh-CN"/>
        </w:rPr>
        <w:t>乙方</w:t>
      </w:r>
      <w:r>
        <w:rPr>
          <w:rFonts w:hint="eastAsia" w:ascii="宋体" w:hAnsi="宋体"/>
          <w:b/>
          <w:bCs/>
          <w:sz w:val="24"/>
        </w:rPr>
        <w:t>客服进行咨询。</w:t>
      </w:r>
    </w:p>
    <w:p>
      <w:pPr>
        <w:spacing w:line="460" w:lineRule="exact"/>
        <w:ind w:firstLine="482" w:firstLineChars="200"/>
        <w:rPr>
          <w:rFonts w:ascii="宋体" w:hAnsi="宋体"/>
          <w:b/>
          <w:bCs/>
          <w:sz w:val="24"/>
        </w:rPr>
      </w:pPr>
    </w:p>
    <w:p>
      <w:pPr>
        <w:numPr>
          <w:ilvl w:val="0"/>
          <w:numId w:val="9"/>
        </w:numPr>
        <w:spacing w:line="460" w:lineRule="exact"/>
        <w:ind w:firstLine="482" w:firstLineChars="200"/>
        <w:rPr>
          <w:rFonts w:ascii="宋体" w:hAnsi="宋体"/>
          <w:sz w:val="24"/>
        </w:rPr>
      </w:pPr>
      <w:r>
        <w:rPr>
          <w:rFonts w:hint="eastAsia" w:ascii="宋体" w:hAnsi="宋体"/>
          <w:b/>
          <w:bCs/>
          <w:sz w:val="24"/>
        </w:rPr>
        <w:t>乙方仅作为理财产品的代理销售机构，非产品的发行机构或管理机构，对产品的业绩不承担任何保证和其他经济责任，不承担理财产品的投资、兑付和风险管理责任。</w:t>
      </w:r>
      <w:r>
        <w:rPr>
          <w:rFonts w:hint="eastAsia" w:ascii="宋体" w:hAnsi="宋体"/>
          <w:sz w:val="24"/>
        </w:rPr>
        <w:t>如因</w:t>
      </w:r>
      <w:r>
        <w:rPr>
          <w:rFonts w:hint="eastAsia" w:ascii="宋体" w:hAnsi="宋体"/>
          <w:sz w:val="24"/>
          <w:lang w:val="en-US" w:eastAsia="zh-CN"/>
        </w:rPr>
        <w:t>管理人</w:t>
      </w:r>
      <w:r>
        <w:rPr>
          <w:rFonts w:hint="eastAsia" w:ascii="宋体" w:hAnsi="宋体"/>
          <w:sz w:val="24"/>
        </w:rPr>
        <w:t>产品的发行、管理、兑付等事宜产生争议或索赔，在法律允许的范围内，甲方同意与</w:t>
      </w:r>
      <w:r>
        <w:rPr>
          <w:rFonts w:hint="eastAsia" w:ascii="宋体" w:hAnsi="宋体"/>
          <w:sz w:val="24"/>
          <w:lang w:val="en-US" w:eastAsia="zh-CN"/>
        </w:rPr>
        <w:t>管理人</w:t>
      </w:r>
      <w:r>
        <w:rPr>
          <w:rFonts w:hint="eastAsia" w:ascii="宋体" w:hAnsi="宋体"/>
          <w:sz w:val="24"/>
        </w:rPr>
        <w:t>自行解决，乙方将为甲方之合法利益实现提供必要协助但无需就此承担责任。</w:t>
      </w:r>
    </w:p>
    <w:p>
      <w:pPr>
        <w:numPr>
          <w:ilvl w:val="0"/>
          <w:numId w:val="9"/>
        </w:numPr>
        <w:spacing w:line="460" w:lineRule="exact"/>
        <w:ind w:firstLine="482" w:firstLineChars="200"/>
        <w:rPr>
          <w:rFonts w:ascii="宋体" w:hAnsi="宋体"/>
          <w:sz w:val="24"/>
        </w:rPr>
      </w:pPr>
      <w:r>
        <w:rPr>
          <w:rFonts w:hint="eastAsia" w:ascii="宋体" w:hAnsi="宋体"/>
          <w:b/>
          <w:bCs/>
          <w:sz w:val="24"/>
        </w:rPr>
        <w:t>甲方在签署本协议前，应详细阅读产品发行机构提供的《产品说明书》、《风险揭示书》等理财产品销售文件，对产品的基本特征、交易规则、风险评级及适合购买的投资者、投资期限和范围、收益及风险、投资者权利义务等充分了解，清楚知晓甲方在乙方的风险承受能力评级，不得购买高于本人风险承受能力的理财产品。</w:t>
      </w:r>
      <w:r>
        <w:rPr>
          <w:rFonts w:hint="eastAsia" w:ascii="宋体" w:hAnsi="宋体"/>
          <w:sz w:val="24"/>
        </w:rPr>
        <w:t>个人投资风险承受能力评估结果的有效期为一年，若评估结果已超过有效期或者在评级结果有效期内发生了可能影响甲方风险承受能力的情况，甲方需通过乙方的柜面、手机银行或网上银行等乙方渠道重新进行风险承受能力评估。</w:t>
      </w:r>
    </w:p>
    <w:p>
      <w:pPr>
        <w:numPr>
          <w:ilvl w:val="0"/>
          <w:numId w:val="9"/>
        </w:numPr>
        <w:spacing w:line="460" w:lineRule="exact"/>
        <w:ind w:firstLine="480"/>
        <w:rPr>
          <w:rFonts w:ascii="宋体" w:hAnsi="宋体"/>
          <w:sz w:val="24"/>
        </w:rPr>
      </w:pPr>
      <w:r>
        <w:rPr>
          <w:rFonts w:hint="eastAsia" w:ascii="宋体" w:hAnsi="宋体"/>
          <w:b/>
          <w:bCs/>
          <w:sz w:val="24"/>
        </w:rPr>
        <w:t>理财产品参考收益率或业绩比较基准仅供甲方参考，并不作为</w:t>
      </w:r>
      <w:r>
        <w:rPr>
          <w:rFonts w:hint="eastAsia" w:ascii="宋体" w:hAnsi="宋体"/>
          <w:b/>
          <w:bCs/>
          <w:sz w:val="24"/>
          <w:lang w:val="en-US" w:eastAsia="zh-CN"/>
        </w:rPr>
        <w:t>管理人</w:t>
      </w:r>
      <w:r>
        <w:rPr>
          <w:rFonts w:hint="eastAsia" w:ascii="宋体" w:hAnsi="宋体"/>
          <w:b/>
          <w:bCs/>
          <w:sz w:val="24"/>
        </w:rPr>
        <w:t>向甲方支付理财收益的承诺。</w:t>
      </w:r>
      <w:r>
        <w:rPr>
          <w:rFonts w:hint="eastAsia" w:ascii="宋体" w:hAnsi="宋体"/>
          <w:sz w:val="24"/>
        </w:rPr>
        <w:t>受国民经济运行情况、宏观政策以及各类突发事件等影响，在理财产品存续期内，收益率水平或发生相应波动，甲方应充分认识并自愿承担上述投资风险。</w:t>
      </w:r>
    </w:p>
    <w:p>
      <w:pPr>
        <w:numPr>
          <w:ilvl w:val="0"/>
          <w:numId w:val="9"/>
        </w:numPr>
        <w:spacing w:line="460" w:lineRule="exact"/>
        <w:ind w:firstLine="482" w:firstLineChars="200"/>
        <w:rPr>
          <w:rFonts w:ascii="宋体" w:hAnsi="宋体"/>
          <w:sz w:val="24"/>
        </w:rPr>
      </w:pPr>
      <w:r>
        <w:rPr>
          <w:rFonts w:hint="eastAsia" w:ascii="宋体" w:hAnsi="宋体"/>
          <w:b/>
          <w:bCs/>
          <w:sz w:val="24"/>
        </w:rPr>
        <w:t>甲方应确认已具有完全民事行为能力。认购/申购乙方代销理财产品出于本人真实意思表示，资金来源合法且为本人自有资金，不存在使用贷款、发行债券等筹集的非自有资金投资的情况，投资行为符合法律、法规及相关监管部门的规定。</w:t>
      </w:r>
      <w:r>
        <w:rPr>
          <w:rFonts w:hint="eastAsia" w:ascii="宋体" w:hAnsi="宋体"/>
          <w:sz w:val="24"/>
        </w:rPr>
        <w:t>提供的个人信息及相关资料真实、合法、完整、有效，如有变更，甲方应及时到乙方办理相关变更手续。</w:t>
      </w:r>
    </w:p>
    <w:p>
      <w:pPr>
        <w:spacing w:line="460" w:lineRule="exact"/>
        <w:ind w:firstLine="482" w:firstLineChars="200"/>
        <w:jc w:val="left"/>
        <w:rPr>
          <w:rFonts w:ascii="楷体" w:hAnsi="楷体" w:eastAsia="楷体"/>
          <w:szCs w:val="21"/>
        </w:rPr>
      </w:pPr>
      <w:r>
        <w:rPr>
          <w:rFonts w:hint="eastAsia" w:ascii="宋体" w:hAnsi="宋体"/>
          <w:b/>
          <w:bCs/>
          <w:sz w:val="24"/>
        </w:rPr>
        <w:t>五、</w:t>
      </w:r>
      <w:r>
        <w:rPr>
          <w:rFonts w:hint="eastAsia" w:ascii="宋体" w:hAnsi="宋体"/>
          <w:sz w:val="24"/>
        </w:rPr>
        <w:t xml:space="preserve">甲方在乙方处以甲方为户名开立个人银行结算账户（以下简称“授权指定账户”），用于理财产品的资金划转及期间、到期款项的返还。  </w:t>
      </w:r>
      <w:r>
        <w:rPr>
          <w:rFonts w:ascii="宋体" w:hAnsi="宋体"/>
          <w:sz w:val="24"/>
        </w:rPr>
        <w:t xml:space="preserve">                          </w:t>
      </w:r>
    </w:p>
    <w:p>
      <w:pPr>
        <w:spacing w:line="460" w:lineRule="exact"/>
        <w:ind w:firstLine="482" w:firstLineChars="200"/>
        <w:rPr>
          <w:rFonts w:ascii="宋体" w:hAnsi="宋体"/>
          <w:b/>
          <w:bCs/>
          <w:sz w:val="24"/>
        </w:rPr>
      </w:pPr>
      <w:r>
        <w:rPr>
          <w:rFonts w:hint="eastAsia" w:ascii="宋体" w:hAnsi="宋体"/>
          <w:b/>
          <w:bCs/>
          <w:sz w:val="24"/>
        </w:rPr>
        <w:t>六、</w:t>
      </w:r>
      <w:r>
        <w:rPr>
          <w:rFonts w:hint="eastAsia" w:ascii="宋体" w:hAnsi="宋体"/>
          <w:sz w:val="24"/>
        </w:rPr>
        <w:t>甲方应在签署本协议后在“授权指定账户”存入足额的购买资金，并确保存入后的账户余额大于或</w:t>
      </w:r>
      <w:r>
        <w:rPr>
          <w:rFonts w:ascii="宋体" w:hAnsi="宋体"/>
          <w:sz w:val="24"/>
        </w:rPr>
        <w:t>等于</w:t>
      </w:r>
      <w:r>
        <w:rPr>
          <w:rFonts w:hint="eastAsia" w:ascii="宋体" w:hAnsi="宋体"/>
          <w:sz w:val="24"/>
        </w:rPr>
        <w:t>购买金额。</w:t>
      </w:r>
      <w:r>
        <w:rPr>
          <w:rFonts w:hint="eastAsia" w:ascii="宋体" w:hAnsi="宋体"/>
          <w:b/>
          <w:bCs/>
          <w:sz w:val="24"/>
        </w:rPr>
        <w:t>因甲方账户资金余额不足，而导致购买不成功，本协议自动终止，乙方不计付理财产品任何收益，并且乙方对此不承担任何责任。</w:t>
      </w:r>
    </w:p>
    <w:p>
      <w:pPr>
        <w:spacing w:line="460" w:lineRule="exact"/>
        <w:ind w:firstLine="482" w:firstLineChars="200"/>
        <w:rPr>
          <w:rFonts w:ascii="宋体" w:hAnsi="宋体"/>
          <w:b/>
          <w:bCs/>
          <w:sz w:val="24"/>
        </w:rPr>
      </w:pPr>
      <w:r>
        <w:rPr>
          <w:rFonts w:hint="eastAsia" w:ascii="宋体" w:hAnsi="宋体"/>
          <w:b/>
          <w:bCs/>
          <w:sz w:val="24"/>
        </w:rPr>
        <w:t>在理财产品发行期内，如因有权机关采取强制措施致使甲方“授权指定账户”购买资金部分或全部被扣划或被冻结而导致购买不成功的，本协议自动终止，乙方不计付理财产品任何收益及相应被扣划的购买资金部分，并且乙方对此不承担任何责任。</w:t>
      </w:r>
    </w:p>
    <w:p>
      <w:pPr>
        <w:spacing w:line="500" w:lineRule="exact"/>
        <w:ind w:firstLine="482" w:firstLineChars="200"/>
        <w:rPr>
          <w:rFonts w:ascii="宋体" w:hAnsi="宋体"/>
          <w:szCs w:val="21"/>
        </w:rPr>
      </w:pPr>
      <w:r>
        <w:rPr>
          <w:rFonts w:hint="eastAsia" w:ascii="宋体" w:hAnsi="宋体"/>
          <w:b/>
          <w:bCs/>
          <w:sz w:val="24"/>
        </w:rPr>
        <w:t>七、</w:t>
      </w:r>
      <w:r>
        <w:rPr>
          <w:rFonts w:hint="eastAsia" w:ascii="宋体" w:hAnsi="宋体"/>
          <w:sz w:val="24"/>
        </w:rPr>
        <w:t>甲方认购\申购理财产品时，乙方将冻结甲方“授权指定账户”内的购买金额，并按照约定时间划转至</w:t>
      </w:r>
      <w:r>
        <w:rPr>
          <w:rFonts w:hint="eastAsia" w:ascii="宋体" w:hAnsi="宋体"/>
          <w:sz w:val="24"/>
          <w:lang w:val="en-US" w:eastAsia="zh-CN"/>
        </w:rPr>
        <w:t>管理</w:t>
      </w:r>
      <w:r>
        <w:rPr>
          <w:rFonts w:hint="eastAsia" w:ascii="宋体" w:hAnsi="宋体"/>
          <w:sz w:val="24"/>
        </w:rPr>
        <w:t>人指定账户。购买资金冻结期间，按乙方公布的活期存款利率计付利息。</w:t>
      </w:r>
      <w:r>
        <w:rPr>
          <w:rFonts w:hint="eastAsia" w:ascii="宋体" w:hAnsi="宋体"/>
          <w:b w:val="0"/>
          <w:bCs/>
          <w:sz w:val="24"/>
        </w:rPr>
        <w:t>募集期内是否计息以</w:t>
      </w:r>
      <w:r>
        <w:rPr>
          <w:rFonts w:hint="eastAsia" w:ascii="宋体" w:hAnsi="宋体"/>
          <w:b w:val="0"/>
          <w:bCs/>
          <w:sz w:val="24"/>
          <w:lang w:val="en-US" w:eastAsia="zh-CN"/>
        </w:rPr>
        <w:t>代理</w:t>
      </w:r>
      <w:r>
        <w:rPr>
          <w:rFonts w:hint="eastAsia" w:ascii="宋体" w:hAnsi="宋体"/>
          <w:b w:val="0"/>
          <w:bCs/>
          <w:sz w:val="24"/>
        </w:rPr>
        <w:t>销售机构为准，且利息部分不计入认购本金。</w:t>
      </w:r>
      <w:r>
        <w:rPr>
          <w:rFonts w:hint="eastAsia" w:ascii="宋体" w:hAnsi="宋体"/>
          <w:sz w:val="24"/>
        </w:rPr>
        <w:t>购买资金冻结期间，甲方不得提取或转移已冻结资金。</w:t>
      </w:r>
    </w:p>
    <w:p>
      <w:pPr>
        <w:spacing w:line="460" w:lineRule="exact"/>
        <w:ind w:firstLine="482" w:firstLineChars="200"/>
        <w:rPr>
          <w:rFonts w:ascii="宋体" w:hAnsi="宋体"/>
          <w:b/>
          <w:bCs/>
          <w:sz w:val="24"/>
        </w:rPr>
      </w:pPr>
      <w:r>
        <w:rPr>
          <w:rFonts w:hint="eastAsia" w:ascii="宋体" w:hAnsi="宋体"/>
          <w:b/>
          <w:bCs/>
          <w:sz w:val="24"/>
        </w:rPr>
        <w:t>八、本协议终止前，甲方可以变更“授权指定账户”,但该账户存在在途交易的情形除外,在途交易指未完成资金清算及份额确认的交易,包括但不限于开放式产品的预受理交易、封闭式产品处于募集期的认购交易。如“授权指定账户”为甲方在我行的唯一理财产品签约账户且有在途交易或存续产品，则该“授权指定账户”不得销户。若发生因甲方注销“授权指定账户”造成无法正常领取到期或期间款项的，乙方不承担任何责任。</w:t>
      </w:r>
    </w:p>
    <w:p>
      <w:pPr>
        <w:spacing w:line="460" w:lineRule="exact"/>
        <w:ind w:firstLine="482" w:firstLineChars="200"/>
        <w:rPr>
          <w:rFonts w:ascii="宋体" w:hAnsi="宋体"/>
          <w:bCs/>
          <w:sz w:val="24"/>
        </w:rPr>
      </w:pPr>
      <w:r>
        <w:rPr>
          <w:rFonts w:hint="eastAsia" w:ascii="宋体" w:hAnsi="宋体"/>
          <w:b/>
          <w:sz w:val="24"/>
        </w:rPr>
        <w:t>九、甲方同意并授权乙方有权根据代销理财业务调取收集乙方开户留存的有效身份证件或者其他身份证明文件信息，并留存业务所需的个人金融信息</w:t>
      </w:r>
      <w:r>
        <w:rPr>
          <w:rFonts w:hint="eastAsia" w:ascii="宋体" w:hAnsi="宋体"/>
          <w:b/>
          <w:sz w:val="24"/>
          <w:lang w:eastAsia="zh-CN"/>
        </w:rPr>
        <w:t>，</w:t>
      </w:r>
      <w:r>
        <w:rPr>
          <w:rFonts w:hint="eastAsia" w:ascii="仿宋" w:hAnsi="仿宋" w:eastAsia="仿宋" w:cs="仿宋"/>
          <w:kern w:val="0"/>
          <w:sz w:val="24"/>
          <w:lang w:val="en-US" w:eastAsia="zh-CN" w:bidi="ar"/>
        </w:rPr>
        <w:t>甲方应配合乙方为识别合格投资者等目的进行的尽职调查</w:t>
      </w:r>
      <w:r>
        <w:rPr>
          <w:rFonts w:hint="eastAsia" w:ascii="宋体" w:hAnsi="宋体"/>
          <w:b/>
          <w:sz w:val="24"/>
        </w:rPr>
        <w:t>。</w:t>
      </w:r>
      <w:r>
        <w:rPr>
          <w:rFonts w:hint="eastAsia" w:ascii="宋体" w:hAnsi="宋体"/>
          <w:bCs/>
          <w:sz w:val="24"/>
        </w:rPr>
        <w:t>乙方将恪守</w:t>
      </w:r>
      <w:r>
        <w:rPr>
          <w:rFonts w:ascii="宋体" w:hAnsi="宋体"/>
          <w:bCs/>
          <w:sz w:val="24"/>
        </w:rPr>
        <w:t>对</w:t>
      </w:r>
      <w:r>
        <w:rPr>
          <w:rFonts w:hint="eastAsia" w:ascii="宋体" w:hAnsi="宋体"/>
          <w:bCs/>
          <w:sz w:val="24"/>
        </w:rPr>
        <w:t>甲</w:t>
      </w:r>
      <w:r>
        <w:rPr>
          <w:rFonts w:ascii="宋体" w:hAnsi="宋体"/>
          <w:bCs/>
          <w:sz w:val="24"/>
        </w:rPr>
        <w:t>方信息的保密义务，并严格按照</w:t>
      </w:r>
      <w:r>
        <w:rPr>
          <w:rFonts w:hint="eastAsia" w:ascii="宋体" w:hAnsi="宋体"/>
          <w:bCs/>
          <w:sz w:val="24"/>
        </w:rPr>
        <w:t>甲</w:t>
      </w:r>
      <w:r>
        <w:rPr>
          <w:rFonts w:ascii="宋体" w:hAnsi="宋体"/>
          <w:bCs/>
          <w:sz w:val="24"/>
        </w:rPr>
        <w:t>方授权或双方约定</w:t>
      </w:r>
      <w:r>
        <w:rPr>
          <w:rFonts w:hint="eastAsia" w:ascii="宋体" w:hAnsi="宋体"/>
          <w:bCs/>
          <w:sz w:val="24"/>
        </w:rPr>
        <w:t>使用</w:t>
      </w:r>
      <w:r>
        <w:rPr>
          <w:rFonts w:ascii="宋体" w:hAnsi="宋体"/>
          <w:bCs/>
          <w:sz w:val="24"/>
        </w:rPr>
        <w:t>和披露</w:t>
      </w:r>
      <w:r>
        <w:rPr>
          <w:rFonts w:hint="eastAsia" w:ascii="宋体" w:hAnsi="宋体"/>
          <w:bCs/>
          <w:sz w:val="24"/>
        </w:rPr>
        <w:t>甲</w:t>
      </w:r>
      <w:r>
        <w:rPr>
          <w:rFonts w:ascii="宋体" w:hAnsi="宋体"/>
          <w:bCs/>
          <w:sz w:val="24"/>
        </w:rPr>
        <w:t>方信息，</w:t>
      </w:r>
      <w:r>
        <w:rPr>
          <w:rFonts w:hint="eastAsia" w:ascii="宋体" w:hAnsi="宋体"/>
          <w:bCs/>
          <w:sz w:val="24"/>
        </w:rPr>
        <w:t>但为</w:t>
      </w:r>
      <w:r>
        <w:rPr>
          <w:rFonts w:ascii="宋体" w:hAnsi="宋体"/>
          <w:bCs/>
          <w:sz w:val="24"/>
        </w:rPr>
        <w:t>履行</w:t>
      </w:r>
      <w:r>
        <w:rPr>
          <w:rFonts w:hint="eastAsia" w:ascii="宋体" w:hAnsi="宋体"/>
          <w:bCs/>
          <w:sz w:val="24"/>
        </w:rPr>
        <w:t>本协议之目的</w:t>
      </w:r>
      <w:r>
        <w:rPr>
          <w:rFonts w:ascii="宋体" w:hAnsi="宋体"/>
          <w:bCs/>
          <w:sz w:val="24"/>
        </w:rPr>
        <w:t>而向</w:t>
      </w:r>
      <w:r>
        <w:rPr>
          <w:rFonts w:hint="eastAsia" w:ascii="宋体" w:hAnsi="宋体"/>
          <w:bCs/>
          <w:sz w:val="24"/>
        </w:rPr>
        <w:t>乙方分支机构或合作服务机构提供的或法律法规、监管部门另有要求</w:t>
      </w:r>
      <w:r>
        <w:rPr>
          <w:rFonts w:ascii="宋体" w:hAnsi="宋体"/>
          <w:bCs/>
          <w:sz w:val="24"/>
        </w:rPr>
        <w:t>的除外</w:t>
      </w:r>
      <w:r>
        <w:rPr>
          <w:rFonts w:hint="eastAsia" w:ascii="宋体" w:hAnsi="宋体"/>
          <w:bCs/>
          <w:sz w:val="24"/>
        </w:rPr>
        <w:t>。</w:t>
      </w:r>
    </w:p>
    <w:p>
      <w:pPr>
        <w:spacing w:line="460" w:lineRule="exact"/>
        <w:ind w:firstLine="482" w:firstLineChars="200"/>
        <w:rPr>
          <w:rFonts w:ascii="宋体" w:hAnsi="宋体"/>
          <w:b/>
          <w:sz w:val="24"/>
        </w:rPr>
      </w:pPr>
      <w:r>
        <w:rPr>
          <w:rFonts w:hint="eastAsia" w:ascii="宋体" w:hAnsi="宋体"/>
          <w:b/>
          <w:bCs/>
          <w:sz w:val="24"/>
        </w:rPr>
        <w:t>十、</w:t>
      </w:r>
      <w:r>
        <w:rPr>
          <w:rFonts w:hint="eastAsia" w:ascii="宋体" w:hAnsi="宋体"/>
          <w:b/>
          <w:sz w:val="24"/>
        </w:rPr>
        <w:t>甲方同意并授权乙方可通过短信、信函、电子邮件、微信公众号、银行客户端APP信息推送等形式向甲方发送通知，内容包括银行账户基本情况、持有产品的基本情况、功能变更、产品服务等。甲方如不同意本条约定，可在收到相关信息后回复指定字符或联系乙方客服电话进行退订。</w:t>
      </w:r>
    </w:p>
    <w:p>
      <w:pPr>
        <w:spacing w:line="460" w:lineRule="exact"/>
        <w:ind w:firstLine="482" w:firstLineChars="200"/>
        <w:rPr>
          <w:rFonts w:ascii="宋体" w:hAnsi="宋体"/>
          <w:b/>
          <w:sz w:val="24"/>
        </w:rPr>
      </w:pPr>
      <w:r>
        <w:rPr>
          <w:rFonts w:hint="eastAsia" w:ascii="宋体" w:hAnsi="宋体"/>
          <w:b/>
          <w:sz w:val="24"/>
        </w:rPr>
        <w:t>十一、甲方需妥善保管好个人信息、账户信息、短信验证码、密码等，凡需甲方输入短信验证码、密码等办理的业务，均视为甲方本人办理，因上述信息保管不善所造成的损失均由甲方承担。</w:t>
      </w:r>
    </w:p>
    <w:p>
      <w:pPr>
        <w:spacing w:line="460" w:lineRule="exact"/>
        <w:ind w:firstLine="482" w:firstLineChars="200"/>
        <w:rPr>
          <w:rFonts w:ascii="宋体" w:hAnsi="宋体"/>
          <w:b/>
          <w:sz w:val="24"/>
        </w:rPr>
      </w:pPr>
      <w:r>
        <w:rPr>
          <w:rFonts w:hint="eastAsia" w:ascii="宋体" w:hAnsi="宋体"/>
          <w:b/>
          <w:sz w:val="24"/>
        </w:rPr>
        <w:t>十二、甲方承诺严格遵守反洗钱相关法律法规和规章制度，不会参与或协助洗钱、恐怖融资、逃税活动等违法行为。一旦乙方发现或有合理理由怀疑甲方涉及相关违法活动的，乙方有权提前终止本协议，因此对甲方造成的损失，乙方不承担责任。</w:t>
      </w:r>
    </w:p>
    <w:p>
      <w:pPr>
        <w:spacing w:line="460" w:lineRule="exact"/>
        <w:ind w:firstLine="482" w:firstLineChars="200"/>
        <w:rPr>
          <w:rFonts w:ascii="宋体" w:hAnsi="宋体"/>
          <w:sz w:val="24"/>
        </w:rPr>
      </w:pPr>
      <w:r>
        <w:rPr>
          <w:rFonts w:hint="eastAsia" w:ascii="宋体" w:hAnsi="宋体"/>
          <w:b/>
          <w:bCs/>
          <w:sz w:val="24"/>
        </w:rPr>
        <w:t>十三</w:t>
      </w:r>
      <w:r>
        <w:rPr>
          <w:rFonts w:hint="eastAsia" w:ascii="宋体" w:hAnsi="宋体"/>
          <w:sz w:val="24"/>
        </w:rPr>
        <w:t>、免责条款</w:t>
      </w:r>
    </w:p>
    <w:p>
      <w:pPr>
        <w:spacing w:line="460" w:lineRule="exact"/>
        <w:ind w:firstLine="480" w:firstLineChars="200"/>
        <w:rPr>
          <w:rFonts w:ascii="宋体" w:hAnsi="宋体"/>
          <w:sz w:val="24"/>
        </w:rPr>
      </w:pPr>
      <w:r>
        <w:rPr>
          <w:rFonts w:hint="eastAsia" w:ascii="宋体" w:hAnsi="宋体"/>
          <w:sz w:val="24"/>
        </w:rPr>
        <w:t>（一）由于地震、火灾、战争、罢工、疫情防控或者国家有关法律、法规、规章、政策的改变、紧急措施的出台等不可抗力导致的交易中断、延误、禁止等任何风险及损失，乙方不承担责任，但应在条件允许的情况下通知甲方，并采取一切必要的补救措施以减小不可抗力造成的损失。</w:t>
      </w:r>
    </w:p>
    <w:p>
      <w:pPr>
        <w:spacing w:line="460" w:lineRule="exact"/>
        <w:ind w:firstLine="480" w:firstLineChars="200"/>
        <w:rPr>
          <w:rFonts w:ascii="宋体" w:hAnsi="宋体"/>
          <w:sz w:val="24"/>
        </w:rPr>
      </w:pPr>
      <w:r>
        <w:rPr>
          <w:rFonts w:hint="eastAsia" w:ascii="宋体" w:hAnsi="宋体"/>
          <w:sz w:val="24"/>
        </w:rPr>
        <w:t>（二）在理财产品发行期内，甲方“授权指定账户”内购买资金全部或部分被有权机关冻结、扣划或处置，乙方不承担责任。</w:t>
      </w:r>
    </w:p>
    <w:p>
      <w:pPr>
        <w:spacing w:line="460" w:lineRule="exact"/>
        <w:ind w:firstLine="480" w:firstLineChars="200"/>
        <w:rPr>
          <w:rFonts w:ascii="宋体" w:hAnsi="宋体"/>
          <w:sz w:val="24"/>
        </w:rPr>
      </w:pPr>
      <w:r>
        <w:rPr>
          <w:rFonts w:hint="eastAsia" w:ascii="宋体" w:hAnsi="宋体"/>
          <w:sz w:val="24"/>
        </w:rPr>
        <w:t>（三）在理财产品存续期内，甲方购买的理财产品被有权机关冻结、扣划或处置，乙方不承担责任。</w:t>
      </w:r>
    </w:p>
    <w:p>
      <w:pPr>
        <w:spacing w:line="460" w:lineRule="exact"/>
        <w:ind w:firstLine="482" w:firstLineChars="200"/>
        <w:rPr>
          <w:rFonts w:ascii="宋体" w:hAnsi="宋体"/>
          <w:b/>
          <w:bCs/>
          <w:sz w:val="24"/>
        </w:rPr>
      </w:pPr>
      <w:r>
        <w:rPr>
          <w:rFonts w:hint="eastAsia" w:ascii="宋体" w:hAnsi="宋体"/>
          <w:b/>
          <w:bCs/>
          <w:sz w:val="24"/>
        </w:rPr>
        <w:t>十四、本协议书适用中华人民共和国大陆地区的法律。本协议项下的及与之有关的一切争议，双方应首先友好协商解决，协商不成的，任何一方应向乙方所在地法院提起诉讼。</w:t>
      </w:r>
    </w:p>
    <w:p>
      <w:pPr>
        <w:spacing w:line="460" w:lineRule="exact"/>
        <w:ind w:firstLine="482" w:firstLineChars="200"/>
        <w:rPr>
          <w:rFonts w:ascii="宋体" w:hAnsi="宋体"/>
          <w:sz w:val="24"/>
        </w:rPr>
      </w:pPr>
      <w:r>
        <w:rPr>
          <w:rFonts w:hint="eastAsia" w:ascii="宋体" w:hAnsi="宋体"/>
          <w:b/>
          <w:bCs/>
          <w:sz w:val="24"/>
        </w:rPr>
        <w:t>十五、</w:t>
      </w:r>
      <w:r>
        <w:rPr>
          <w:rFonts w:hint="eastAsia" w:ascii="宋体" w:hAnsi="宋体"/>
          <w:sz w:val="24"/>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spacing w:line="460" w:lineRule="exact"/>
        <w:ind w:firstLine="480" w:firstLineChars="200"/>
        <w:rPr>
          <w:rFonts w:ascii="宋体" w:hAnsi="宋体"/>
          <w:sz w:val="24"/>
        </w:rPr>
      </w:pPr>
      <w:r>
        <w:rPr>
          <w:rFonts w:hint="eastAsia" w:ascii="宋体" w:hAnsi="宋体"/>
          <w:sz w:val="24"/>
        </w:rPr>
        <w:t>甲方送达地址等任一事项发生变更的，应最迟于两个工作日内书面通知乙方。</w:t>
      </w:r>
    </w:p>
    <w:p>
      <w:pPr>
        <w:spacing w:line="460" w:lineRule="exact"/>
        <w:ind w:firstLine="480" w:firstLineChars="200"/>
        <w:rPr>
          <w:rFonts w:ascii="宋体" w:hAnsi="宋体"/>
          <w:sz w:val="24"/>
        </w:rPr>
      </w:pPr>
      <w:r>
        <w:rPr>
          <w:rFonts w:hint="eastAsia" w:ascii="宋体" w:hAnsi="宋体"/>
          <w:sz w:val="24"/>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spacing w:line="460" w:lineRule="exact"/>
        <w:ind w:firstLine="480" w:firstLineChars="200"/>
        <w:rPr>
          <w:rFonts w:ascii="宋体" w:hAnsi="宋体"/>
          <w:sz w:val="24"/>
        </w:rPr>
      </w:pPr>
      <w:r>
        <w:rPr>
          <w:rFonts w:hint="eastAsia" w:ascii="宋体" w:hAnsi="宋体"/>
          <w:sz w:val="24"/>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p>
      <w:pPr>
        <w:spacing w:line="460" w:lineRule="exact"/>
        <w:ind w:firstLine="482" w:firstLineChars="200"/>
        <w:rPr>
          <w:rFonts w:ascii="宋体" w:hAnsi="宋体"/>
          <w:sz w:val="24"/>
        </w:rPr>
      </w:pPr>
      <w:r>
        <w:rPr>
          <w:rFonts w:hint="eastAsia" w:ascii="宋体" w:hAnsi="宋体"/>
          <w:b/>
          <w:bCs/>
          <w:sz w:val="24"/>
        </w:rPr>
        <w:t>十六、</w:t>
      </w:r>
      <w:r>
        <w:rPr>
          <w:rFonts w:hint="eastAsia" w:ascii="宋体" w:hAnsi="宋体"/>
          <w:sz w:val="24"/>
        </w:rPr>
        <w:t>甲方若通过乙方柜面渠道购买理财产品的，本协议书自甲方签字、乙方经办人员签章并加盖业务专用章后生效，协议一式贰份，双方各执一份，且具有同等法律效力。</w:t>
      </w:r>
    </w:p>
    <w:p>
      <w:pPr>
        <w:spacing w:line="460" w:lineRule="exact"/>
        <w:ind w:firstLine="480" w:firstLineChars="200"/>
        <w:rPr>
          <w:rFonts w:ascii="宋体" w:hAnsi="宋体"/>
          <w:sz w:val="24"/>
        </w:rPr>
      </w:pPr>
      <w:r>
        <w:rPr>
          <w:rFonts w:hint="eastAsia" w:ascii="宋体" w:hAnsi="宋体"/>
          <w:sz w:val="24"/>
        </w:rPr>
        <w:t>根据《中华人民共和国</w:t>
      </w:r>
      <w:r>
        <w:rPr>
          <w:rFonts w:hint="eastAsia" w:ascii="宋体" w:hAnsi="宋体"/>
          <w:sz w:val="24"/>
          <w:lang w:val="en-US" w:eastAsia="zh-CN"/>
        </w:rPr>
        <w:t>民法典</w:t>
      </w:r>
      <w:r>
        <w:rPr>
          <w:rFonts w:hint="eastAsia" w:ascii="宋体" w:hAnsi="宋体"/>
          <w:sz w:val="24"/>
        </w:rPr>
        <w:t>》、《中华人民共和国电子签名法》关于民事合同使用数据电文、电子签名的规定，采用电子签名签订的电子签名合同、风险揭示书具有与纸质合同、纸质风险揭示书同等的法律效力。以此作为法律依据，本着提高合同签署效率的目的，投资者同意自本代销理财产品协议书签订之日起，投资者在</w:t>
      </w:r>
      <w:r>
        <w:rPr>
          <w:rFonts w:hint="eastAsia" w:ascii="宋体" w:hAnsi="宋体"/>
          <w:sz w:val="24"/>
          <w:lang w:eastAsia="zh-CN"/>
        </w:rPr>
        <w:t>代理销售机构</w:t>
      </w:r>
      <w:r>
        <w:rPr>
          <w:rFonts w:hint="eastAsia" w:ascii="宋体" w:hAnsi="宋体"/>
          <w:sz w:val="24"/>
        </w:rPr>
        <w:t>交易理财产品过程中，可以使用电子合同、电子签名。投资者通过身份验证</w:t>
      </w:r>
      <w:r>
        <w:rPr>
          <w:rFonts w:hint="eastAsia" w:ascii="宋体" w:hAnsi="宋体"/>
          <w:sz w:val="24"/>
          <w:lang w:eastAsia="zh-CN"/>
        </w:rPr>
        <w:t>代理销售机构</w:t>
      </w:r>
      <w:r>
        <w:rPr>
          <w:rFonts w:hint="eastAsia" w:ascii="宋体" w:hAnsi="宋体"/>
          <w:sz w:val="24"/>
        </w:rPr>
        <w:t>指定的网络系统，确认同意接受相关电子签名合同，风险揭示书或其他文书的，视为签署合同、签署风险揭示书或其他文书，与在纸质合同、纸质风险揭示书或其他文书上手写抄写、签名或者盖章具有同等的法律效力，无须另行签署纸质合同或纸质风险揭示书或其他文书。</w:t>
      </w:r>
    </w:p>
    <w:p>
      <w:pPr>
        <w:spacing w:line="460" w:lineRule="exact"/>
        <w:ind w:firstLine="480" w:firstLineChars="200"/>
        <w:rPr>
          <w:rFonts w:ascii="宋体" w:hAnsi="宋体"/>
          <w:sz w:val="24"/>
        </w:rPr>
      </w:pPr>
      <w:r>
        <w:rPr>
          <w:rFonts w:hint="eastAsia" w:ascii="宋体" w:hAnsi="宋体"/>
          <w:sz w:val="24"/>
        </w:rPr>
        <w:t>投资者应妥善保管和使用本人的签约账号、客户号、密码及电子身份证书，经投资者密码登录本人账户后的所有操作，以及</w:t>
      </w:r>
      <w:r>
        <w:rPr>
          <w:rFonts w:hint="eastAsia" w:ascii="宋体" w:hAnsi="宋体"/>
          <w:sz w:val="24"/>
          <w:lang w:eastAsia="zh-CN"/>
        </w:rPr>
        <w:t>代理销售机构</w:t>
      </w:r>
      <w:r>
        <w:rPr>
          <w:rFonts w:hint="eastAsia" w:ascii="宋体" w:hAnsi="宋体"/>
          <w:sz w:val="24"/>
        </w:rPr>
        <w:t>根据投资者的业务指令办理业务，对所有使用上述信息进行的操作均视为投资者本人行为，该操作所产生的电子信息记录均为</w:t>
      </w:r>
      <w:r>
        <w:rPr>
          <w:rFonts w:hint="eastAsia" w:ascii="宋体" w:hAnsi="宋体"/>
          <w:sz w:val="24"/>
          <w:lang w:eastAsia="zh-CN"/>
        </w:rPr>
        <w:t>代理销售机构</w:t>
      </w:r>
      <w:r>
        <w:rPr>
          <w:rFonts w:hint="eastAsia" w:ascii="宋体" w:hAnsi="宋体"/>
          <w:sz w:val="24"/>
        </w:rPr>
        <w:t>处理电子签名合同业务的有效凭据，投资者承担由此产生的一切法律后果。</w:t>
      </w:r>
    </w:p>
    <w:p>
      <w:pPr>
        <w:spacing w:line="460" w:lineRule="exact"/>
        <w:ind w:firstLine="482" w:firstLineChars="200"/>
        <w:rPr>
          <w:rFonts w:ascii="宋体" w:hAnsi="宋体" w:cs="Arial Unicode MS"/>
          <w:b/>
          <w:bCs/>
          <w:color w:val="000000"/>
          <w:kern w:val="0"/>
          <w:sz w:val="24"/>
        </w:rPr>
      </w:pPr>
      <w:r>
        <w:rPr>
          <w:rFonts w:hint="eastAsia" w:ascii="宋体" w:hAnsi="宋体"/>
          <w:b/>
          <w:sz w:val="24"/>
        </w:rPr>
        <w:t>十七、</w:t>
      </w:r>
      <w:r>
        <w:rPr>
          <w:rFonts w:hint="eastAsia" w:ascii="宋体" w:hAnsi="宋体"/>
          <w:bCs/>
          <w:sz w:val="24"/>
        </w:rPr>
        <w:t>本协议项下各方权利义务履行完毕之日，本协议自动终止。</w:t>
      </w:r>
    </w:p>
    <w:p>
      <w:pPr>
        <w:spacing w:line="460" w:lineRule="exact"/>
        <w:rPr>
          <w:rFonts w:ascii="宋体" w:hAnsi="宋体"/>
          <w:b/>
          <w:sz w:val="24"/>
        </w:rPr>
      </w:pPr>
      <w:r>
        <w:rPr>
          <w:rFonts w:ascii="宋体" w:hAnsi="宋体"/>
          <w:sz w:val="24"/>
        </w:rPr>
        <w:br w:type="page"/>
      </w:r>
    </w:p>
    <w:p>
      <w:pPr>
        <w:spacing w:line="460" w:lineRule="exact"/>
        <w:ind w:firstLine="482" w:firstLineChars="200"/>
        <w:rPr>
          <w:rFonts w:ascii="宋体" w:hAnsi="宋体"/>
          <w:b/>
          <w:sz w:val="24"/>
        </w:rPr>
      </w:pPr>
      <w:r>
        <w:rPr>
          <w:rFonts w:hint="eastAsia" w:ascii="宋体" w:hAnsi="宋体"/>
          <w:b/>
          <w:sz w:val="24"/>
        </w:rPr>
        <w:t>甲方重要声明：</w:t>
      </w:r>
    </w:p>
    <w:p>
      <w:pPr>
        <w:spacing w:line="460" w:lineRule="exact"/>
        <w:ind w:firstLine="482" w:firstLineChars="200"/>
        <w:rPr>
          <w:rFonts w:ascii="宋体" w:hAnsi="宋体"/>
          <w:b/>
          <w:sz w:val="24"/>
        </w:rPr>
      </w:pPr>
      <w:r>
        <w:rPr>
          <w:rFonts w:hint="eastAsia" w:ascii="宋体" w:hAnsi="宋体"/>
          <w:b/>
          <w:sz w:val="24"/>
        </w:rPr>
        <w:t>在签署本协议书前，本人已认真阅读本协议书及客户权益须知，充分认识理财产品的投资风险以及乙方的</w:t>
      </w:r>
      <w:r>
        <w:rPr>
          <w:rFonts w:ascii="宋体" w:hAnsi="宋体"/>
          <w:b/>
          <w:sz w:val="24"/>
        </w:rPr>
        <w:t>免责</w:t>
      </w:r>
      <w:r>
        <w:rPr>
          <w:rFonts w:hint="eastAsia" w:ascii="宋体" w:hAnsi="宋体"/>
          <w:b/>
          <w:sz w:val="24"/>
        </w:rPr>
        <w:t>情形，乙方就本协议书的全部条款已向本人进行了详细地说明和解释，双方对合同的全部条款均无疑义，并对有关权利义务和责任限制或免除条款的法律含义有准确无误的理解。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甲方签字：                    乙方（盖章）：</w:t>
      </w:r>
    </w:p>
    <w:p>
      <w:pPr>
        <w:spacing w:line="460" w:lineRule="exact"/>
        <w:ind w:firstLine="480" w:firstLineChars="200"/>
        <w:outlineLvl w:val="1"/>
        <w:rPr>
          <w:rFonts w:ascii="宋体" w:hAnsi="宋体"/>
          <w:sz w:val="24"/>
        </w:rPr>
      </w:pPr>
      <w:r>
        <w:rPr>
          <w:rFonts w:hint="eastAsia" w:ascii="宋体" w:hAnsi="宋体"/>
          <w:sz w:val="24"/>
        </w:rPr>
        <w:t xml:space="preserve">                              经办人员（签章）：</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签署日期：</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rPr>
          <w:rFonts w:hint="eastAsia" w:ascii="宋体" w:hAnsi="宋体"/>
          <w:sz w:val="22"/>
          <w:szCs w:val="22"/>
          <w:lang w:val="zh-CN"/>
        </w:rPr>
      </w:pPr>
      <w:r>
        <w:rPr>
          <w:rFonts w:hint="eastAsia" w:ascii="宋体" w:hAnsi="宋体"/>
          <w:sz w:val="22"/>
          <w:szCs w:val="22"/>
          <w:lang w:val="zh-CN"/>
        </w:rPr>
        <w:br w:type="page"/>
      </w:r>
    </w:p>
    <w:p>
      <w:pPr>
        <w:spacing w:line="470" w:lineRule="exact"/>
        <w:jc w:val="center"/>
        <w:rPr>
          <w:rFonts w:hint="eastAsia" w:ascii="宋体" w:hAnsi="宋体"/>
          <w:b/>
          <w:sz w:val="32"/>
          <w:szCs w:val="32"/>
        </w:rPr>
      </w:pPr>
      <w:r>
        <w:rPr>
          <w:rFonts w:hint="eastAsia" w:ascii="宋体" w:hAnsi="宋体"/>
          <w:b/>
          <w:sz w:val="32"/>
          <w:szCs w:val="32"/>
        </w:rPr>
        <w:t>代理销售理财产品协议书</w:t>
      </w:r>
    </w:p>
    <w:p>
      <w:pPr>
        <w:spacing w:line="470" w:lineRule="exact"/>
        <w:jc w:val="center"/>
        <w:rPr>
          <w:rFonts w:ascii="宋体" w:hAnsi="宋体"/>
          <w:b/>
          <w:szCs w:val="21"/>
        </w:rPr>
      </w:pPr>
      <w:r>
        <w:rPr>
          <w:rFonts w:hint="eastAsia" w:ascii="宋体" w:hAnsi="宋体"/>
          <w:b/>
          <w:sz w:val="32"/>
          <w:szCs w:val="32"/>
        </w:rPr>
        <w:t>（适用于机构客户）</w:t>
      </w:r>
    </w:p>
    <w:p>
      <w:pPr>
        <w:spacing w:line="470" w:lineRule="exact"/>
        <w:ind w:right="480"/>
        <w:rPr>
          <w:rFonts w:ascii="仿宋_GB2312" w:eastAsia="仿宋_GB2312"/>
          <w:b/>
          <w:sz w:val="28"/>
          <w:szCs w:val="28"/>
        </w:rPr>
      </w:pPr>
      <w:r>
        <w:rPr>
          <w:rFonts w:hint="eastAsia" w:ascii="仿宋_GB2312" w:hAnsi="宋体" w:eastAsia="仿宋_GB2312"/>
          <w:sz w:val="24"/>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b/>
          <w:sz w:val="28"/>
          <w:szCs w:val="28"/>
        </w:rPr>
        <w:t>甲方</w:t>
      </w:r>
      <w:r>
        <w:rPr>
          <w:rFonts w:hint="eastAsia" w:ascii="仿宋_GB2312" w:eastAsia="仿宋_GB2312"/>
          <w:sz w:val="28"/>
          <w:szCs w:val="28"/>
        </w:rPr>
        <w:t>：</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 xml:space="preserve">地址： </w:t>
      </w:r>
      <w:r>
        <w:rPr>
          <w:rFonts w:hint="eastAsia" w:ascii="仿宋_GB2312" w:eastAsia="仿宋_GB2312"/>
          <w:sz w:val="28"/>
          <w:szCs w:val="28"/>
          <w:u w:val="single"/>
        </w:rPr>
        <w:t xml:space="preserve">                       </w:t>
      </w:r>
      <w:r>
        <w:rPr>
          <w:rFonts w:hint="eastAsia" w:ascii="仿宋_GB2312" w:eastAsia="仿宋_GB2312"/>
          <w:sz w:val="28"/>
          <w:szCs w:val="28"/>
        </w:rPr>
        <w:t xml:space="preserve">   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 xml:space="preserve">法定代表人（负责人）： </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委托代理人：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b/>
          <w:sz w:val="28"/>
          <w:szCs w:val="28"/>
        </w:rPr>
      </w:pPr>
    </w:p>
    <w:p>
      <w:pPr>
        <w:spacing w:line="470" w:lineRule="exact"/>
        <w:rPr>
          <w:rFonts w:ascii="仿宋_GB2312" w:eastAsia="仿宋_GB2312"/>
          <w:sz w:val="28"/>
          <w:szCs w:val="28"/>
          <w:u w:val="single"/>
        </w:rPr>
      </w:pPr>
      <w:r>
        <w:rPr>
          <w:rFonts w:hint="eastAsia" w:ascii="仿宋_GB2312" w:eastAsia="仿宋_GB2312"/>
          <w:b/>
          <w:sz w:val="28"/>
          <w:szCs w:val="28"/>
        </w:rPr>
        <w:t>乙方</w:t>
      </w:r>
      <w:r>
        <w:rPr>
          <w:rFonts w:hint="eastAsia" w:ascii="仿宋_GB2312" w:eastAsia="仿宋_GB2312"/>
          <w:b/>
          <w:sz w:val="28"/>
          <w:szCs w:val="28"/>
          <w:lang w:eastAsia="zh-CN"/>
        </w:rPr>
        <w:t>（</w:t>
      </w:r>
      <w:r>
        <w:rPr>
          <w:rFonts w:hint="eastAsia" w:ascii="仿宋_GB2312" w:eastAsia="仿宋_GB2312"/>
          <w:b/>
          <w:sz w:val="28"/>
          <w:szCs w:val="28"/>
          <w:lang w:val="en-US" w:eastAsia="zh-CN"/>
        </w:rPr>
        <w:t>代理销售机构）</w:t>
      </w:r>
      <w:r>
        <w:rPr>
          <w:rFonts w:hint="eastAsia" w:ascii="仿宋_GB2312" w:eastAsia="仿宋_GB2312"/>
          <w:b/>
          <w:sz w:val="28"/>
          <w:szCs w:val="28"/>
        </w:rPr>
        <w:t>：</w:t>
      </w:r>
      <w:r>
        <w:rPr>
          <w:rFonts w:hint="eastAsia" w:ascii="仿宋_GB2312" w:eastAsia="仿宋_GB2312"/>
          <w:b/>
          <w:sz w:val="28"/>
          <w:szCs w:val="28"/>
          <w:u w:val="single"/>
          <w:lang w:val="en-US" w:eastAsia="zh-CN"/>
        </w:rPr>
        <w:t xml:space="preserve">           </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地址：</w:t>
      </w:r>
      <w:r>
        <w:rPr>
          <w:rFonts w:hint="eastAsia" w:ascii="仿宋_GB2312" w:eastAsia="仿宋_GB2312"/>
          <w:sz w:val="28"/>
          <w:szCs w:val="28"/>
          <w:u w:val="single"/>
        </w:rPr>
        <w:t xml:space="preserve">                           </w:t>
      </w:r>
      <w:r>
        <w:rPr>
          <w:rFonts w:hint="eastAsia" w:ascii="仿宋_GB2312" w:eastAsia="仿宋_GB2312"/>
          <w:sz w:val="28"/>
          <w:szCs w:val="28"/>
        </w:rPr>
        <w:t>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法定代表人（负责人）：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联系人：</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p>
    <w:p>
      <w:pPr>
        <w:spacing w:line="460" w:lineRule="exact"/>
        <w:ind w:firstLine="560" w:firstLineChars="200"/>
        <w:rPr>
          <w:rFonts w:ascii="黑体" w:eastAsia="黑体"/>
          <w:sz w:val="28"/>
          <w:szCs w:val="28"/>
        </w:rPr>
      </w:pPr>
      <w:r>
        <w:rPr>
          <w:rFonts w:hint="eastAsia" w:ascii="黑体" w:eastAsia="黑体"/>
          <w:sz w:val="28"/>
          <w:szCs w:val="28"/>
        </w:rPr>
        <w:t>特别提示：本协议系由</w:t>
      </w:r>
      <w:r>
        <w:rPr>
          <w:rFonts w:hint="eastAsia" w:ascii="黑体" w:eastAsia="黑体"/>
          <w:sz w:val="28"/>
          <w:szCs w:val="28"/>
          <w:lang w:val="en-US" w:eastAsia="zh-CN"/>
        </w:rPr>
        <w:t>代理销售机构</w:t>
      </w:r>
      <w:r>
        <w:rPr>
          <w:rFonts w:hint="eastAsia" w:ascii="黑体" w:eastAsia="黑体"/>
          <w:sz w:val="28"/>
          <w:szCs w:val="28"/>
        </w:rPr>
        <w:t>（以下简称“乙方”）与理财产品投资客户（以下简称“甲方”）就代销理财产品相关事宜所签订的有效合约。本协议所称的“理财产品”是指经国务院银行业监督管理机构批准成立的商业银行理财子公司（以下简称“</w:t>
      </w:r>
      <w:r>
        <w:rPr>
          <w:rFonts w:hint="eastAsia" w:ascii="黑体" w:eastAsia="黑体"/>
          <w:sz w:val="28"/>
          <w:szCs w:val="28"/>
          <w:lang w:val="en-US" w:eastAsia="zh-CN"/>
        </w:rPr>
        <w:t>管理人</w:t>
      </w:r>
      <w:r>
        <w:rPr>
          <w:rFonts w:hint="eastAsia" w:ascii="黑体" w:eastAsia="黑体"/>
          <w:sz w:val="28"/>
          <w:szCs w:val="28"/>
        </w:rPr>
        <w:t>”）按照约定条件和实际投资收益情况向投资者支付收益、不保证本金支付和收益水平的非保本理财产品。</w:t>
      </w:r>
    </w:p>
    <w:p>
      <w:pPr>
        <w:spacing w:line="470" w:lineRule="exact"/>
        <w:ind w:firstLine="0" w:firstLineChars="0"/>
        <w:rPr>
          <w:rFonts w:ascii="仿宋_GB2312" w:eastAsia="仿宋_GB2312"/>
          <w:sz w:val="28"/>
          <w:szCs w:val="28"/>
        </w:rPr>
      </w:pPr>
    </w:p>
    <w:p>
      <w:pPr>
        <w:spacing w:line="470" w:lineRule="exact"/>
        <w:ind w:firstLine="560" w:firstLineChars="200"/>
        <w:rPr>
          <w:rFonts w:ascii="仿宋_GB2312" w:eastAsia="仿宋_GB2312"/>
          <w:sz w:val="28"/>
          <w:szCs w:val="28"/>
        </w:rPr>
      </w:pPr>
      <w:r>
        <w:rPr>
          <w:rFonts w:hint="eastAsia" w:ascii="仿宋_GB2312" w:eastAsia="仿宋_GB2312"/>
          <w:sz w:val="28"/>
          <w:szCs w:val="28"/>
        </w:rPr>
        <w:t>鉴于甲方向乙方申请购买</w:t>
      </w:r>
      <w:bookmarkStart w:id="31" w:name="_Hlk90631159"/>
      <w:r>
        <w:rPr>
          <w:rFonts w:hint="eastAsia" w:ascii="仿宋_GB2312" w:eastAsia="仿宋_GB2312"/>
          <w:sz w:val="28"/>
          <w:szCs w:val="28"/>
        </w:rPr>
        <w:t>由</w:t>
      </w:r>
      <w:r>
        <w:rPr>
          <w:rFonts w:hint="eastAsia" w:ascii="仿宋_GB2312" w:eastAsia="仿宋_GB2312"/>
          <w:sz w:val="28"/>
          <w:szCs w:val="28"/>
          <w:u w:val="single"/>
        </w:rPr>
        <w:t xml:space="preserve">                 </w:t>
      </w:r>
      <w:r>
        <w:rPr>
          <w:rFonts w:hint="eastAsia" w:ascii="仿宋_GB2312" w:eastAsia="仿宋_GB2312"/>
          <w:sz w:val="28"/>
          <w:szCs w:val="28"/>
        </w:rPr>
        <w:t>作为产品管理人发行的</w:t>
      </w:r>
      <w:r>
        <w:rPr>
          <w:rFonts w:hint="eastAsia" w:ascii="仿宋_GB2312" w:eastAsia="仿宋_GB2312"/>
          <w:sz w:val="28"/>
          <w:szCs w:val="28"/>
          <w:u w:val="single"/>
        </w:rPr>
        <w:t xml:space="preserve"> </w:t>
      </w:r>
      <w:bookmarkEnd w:id="31"/>
      <w:r>
        <w:rPr>
          <w:rFonts w:hint="eastAsia" w:ascii="仿宋_GB2312" w:eastAsia="仿宋_GB2312"/>
          <w:sz w:val="28"/>
          <w:szCs w:val="28"/>
          <w:u w:val="single"/>
        </w:rPr>
        <w:t xml:space="preserve">             </w:t>
      </w:r>
      <w:r>
        <w:rPr>
          <w:rFonts w:hint="eastAsia" w:ascii="仿宋_GB2312" w:eastAsia="仿宋_GB2312"/>
          <w:sz w:val="28"/>
          <w:szCs w:val="28"/>
        </w:rPr>
        <w:t>人民币理财产品（以下简称“本理财产品”），已向乙方提出申请。乙方愿意接受甲方的申请向甲方销售本理财产品。现双方经友好协商，本着平等自愿、诚实信用的原则，就购买本理财产品相关事宜达成如下协议：</w:t>
      </w:r>
    </w:p>
    <w:p>
      <w:pPr>
        <w:pStyle w:val="8"/>
        <w:spacing w:line="470" w:lineRule="exact"/>
        <w:ind w:firstLine="0" w:firstLineChars="0"/>
        <w:rPr>
          <w:spacing w:val="-4"/>
          <w:sz w:val="28"/>
          <w:szCs w:val="28"/>
        </w:rPr>
      </w:pPr>
      <w:r>
        <w:rPr>
          <w:rFonts w:hint="eastAsia"/>
          <w:sz w:val="28"/>
          <w:szCs w:val="28"/>
        </w:rPr>
        <w:t xml:space="preserve">    </w:t>
      </w:r>
      <w:r>
        <w:rPr>
          <w:rFonts w:hint="eastAsia"/>
          <w:spacing w:val="-4"/>
          <w:sz w:val="28"/>
          <w:szCs w:val="28"/>
        </w:rPr>
        <w:t>第一条  甲方自愿购买本理财产品。</w:t>
      </w:r>
      <w:r>
        <w:rPr>
          <w:rFonts w:hint="eastAsia"/>
          <w:sz w:val="28"/>
          <w:szCs w:val="28"/>
        </w:rPr>
        <w:t>认购产品代码、名称、期限、认购金额等信息以双方后续签订的</w:t>
      </w:r>
      <w:r>
        <w:rPr>
          <w:rFonts w:hint="eastAsia" w:hAnsi="Calibri"/>
          <w:sz w:val="28"/>
          <w:szCs w:val="28"/>
        </w:rPr>
        <w:t>理财产品认/申购申请表</w:t>
      </w:r>
      <w:r>
        <w:rPr>
          <w:rFonts w:hint="eastAsia"/>
          <w:sz w:val="28"/>
          <w:szCs w:val="28"/>
        </w:rPr>
        <w:t>为准。</w:t>
      </w:r>
      <w:r>
        <w:rPr>
          <w:rFonts w:hint="eastAsia" w:hAnsi="Calibri"/>
          <w:sz w:val="28"/>
          <w:szCs w:val="28"/>
        </w:rPr>
        <w:t>认/申购申请表</w:t>
      </w:r>
      <w:r>
        <w:rPr>
          <w:rFonts w:hint="eastAsia"/>
          <w:sz w:val="28"/>
          <w:szCs w:val="28"/>
        </w:rPr>
        <w:t>为本协议的重要组成部分，对双方具有</w:t>
      </w:r>
      <w:r>
        <w:rPr>
          <w:rFonts w:hint="eastAsia"/>
          <w:spacing w:val="-4"/>
          <w:sz w:val="28"/>
          <w:szCs w:val="28"/>
        </w:rPr>
        <w:t>法律约束力。</w:t>
      </w:r>
    </w:p>
    <w:p>
      <w:pPr>
        <w:pStyle w:val="8"/>
        <w:spacing w:line="470" w:lineRule="exact"/>
        <w:ind w:firstLine="544"/>
        <w:rPr>
          <w:spacing w:val="-4"/>
          <w:sz w:val="28"/>
          <w:szCs w:val="28"/>
        </w:rPr>
      </w:pPr>
      <w:bookmarkStart w:id="32" w:name="_Hlk90631417"/>
      <w:r>
        <w:rPr>
          <w:rFonts w:hint="eastAsia"/>
          <w:spacing w:val="-4"/>
          <w:sz w:val="28"/>
          <w:szCs w:val="28"/>
        </w:rPr>
        <w:t>本销售协议书和本理财产品的投资协议书、风险揭示书、产品说明书及投资者权益须知</w:t>
      </w:r>
      <w:bookmarkEnd w:id="32"/>
      <w:r>
        <w:rPr>
          <w:rFonts w:hint="eastAsia"/>
          <w:spacing w:val="-4"/>
          <w:sz w:val="28"/>
          <w:szCs w:val="28"/>
        </w:rPr>
        <w:t>为不可分割的组成部分（以下统称“理财产品销售文件”）。</w:t>
      </w:r>
    </w:p>
    <w:p>
      <w:pPr>
        <w:spacing w:line="470" w:lineRule="exact"/>
        <w:rPr>
          <w:rFonts w:ascii="仿宋_GB2312" w:eastAsia="仿宋_GB2312"/>
          <w:sz w:val="28"/>
          <w:szCs w:val="28"/>
        </w:rPr>
      </w:pPr>
      <w:r>
        <w:rPr>
          <w:rFonts w:hint="eastAsia" w:ascii="仿宋_GB2312" w:eastAsia="仿宋_GB2312"/>
          <w:sz w:val="28"/>
          <w:szCs w:val="28"/>
        </w:rPr>
        <w:t xml:space="preserve">    第二条  账户开立</w:t>
      </w:r>
    </w:p>
    <w:p>
      <w:pPr>
        <w:spacing w:line="470" w:lineRule="exact"/>
        <w:ind w:firstLine="570"/>
        <w:rPr>
          <w:rFonts w:ascii="仿宋_GB2312" w:hAnsi="Times New Roman" w:eastAsia="仿宋_GB2312"/>
          <w:spacing w:val="-4"/>
          <w:sz w:val="28"/>
          <w:szCs w:val="28"/>
        </w:rPr>
      </w:pPr>
      <w:r>
        <w:rPr>
          <w:rFonts w:hint="eastAsia" w:ascii="仿宋_GB2312" w:eastAsia="仿宋_GB2312"/>
          <w:sz w:val="28"/>
          <w:szCs w:val="28"/>
        </w:rPr>
        <w:t>甲方在乙方处以甲方为户名开立对公银行结算账户（以下简称“授权指定账户”），用于本理财产品的资金划转及到期款项的划付。授权指定账户的具体信息见认/申购申请表。</w:t>
      </w:r>
    </w:p>
    <w:p>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 xml:space="preserve">第三条  </w:t>
      </w:r>
      <w:bookmarkStart w:id="33" w:name="_Hlk90633384"/>
      <w:r>
        <w:rPr>
          <w:rFonts w:hint="eastAsia" w:ascii="仿宋_GB2312" w:eastAsia="仿宋_GB2312"/>
          <w:color w:val="000000"/>
          <w:sz w:val="28"/>
          <w:szCs w:val="28"/>
        </w:rPr>
        <w:t>甲方根据本协议和</w:t>
      </w:r>
      <w:r>
        <w:rPr>
          <w:rFonts w:hint="eastAsia" w:ascii="仿宋_GB2312" w:eastAsia="仿宋_GB2312"/>
          <w:sz w:val="28"/>
          <w:szCs w:val="28"/>
        </w:rPr>
        <w:t>认/申购申请表</w:t>
      </w:r>
      <w:r>
        <w:rPr>
          <w:rFonts w:hint="eastAsia" w:ascii="仿宋_GB2312" w:eastAsia="仿宋_GB2312"/>
          <w:color w:val="000000"/>
          <w:sz w:val="28"/>
          <w:szCs w:val="28"/>
        </w:rPr>
        <w:t>约定，将本理财产品认购资金按时足额存入授权指定账户，乙方将冻结甲方“授权指定账户”内的购买金额，并按照约定时间划转至产品</w:t>
      </w:r>
      <w:r>
        <w:rPr>
          <w:rFonts w:hint="eastAsia" w:ascii="仿宋_GB2312" w:eastAsia="仿宋_GB2312"/>
          <w:color w:val="000000"/>
          <w:sz w:val="28"/>
          <w:szCs w:val="28"/>
          <w:lang w:val="en-US" w:eastAsia="zh-CN"/>
        </w:rPr>
        <w:t>管理</w:t>
      </w:r>
      <w:r>
        <w:rPr>
          <w:rFonts w:hint="eastAsia" w:ascii="仿宋_GB2312" w:eastAsia="仿宋_GB2312"/>
          <w:color w:val="000000"/>
          <w:sz w:val="28"/>
          <w:szCs w:val="28"/>
        </w:rPr>
        <w:t>人指定账户。购买资金冻结期间，按乙方公布的活期存款利率计付利息。募集期内是否计息以</w:t>
      </w:r>
      <w:r>
        <w:rPr>
          <w:rFonts w:hint="eastAsia" w:ascii="仿宋_GB2312" w:eastAsia="仿宋_GB2312"/>
          <w:color w:val="000000"/>
          <w:sz w:val="28"/>
          <w:szCs w:val="28"/>
          <w:lang w:val="en-US" w:eastAsia="zh-CN"/>
        </w:rPr>
        <w:t>代理</w:t>
      </w:r>
      <w:r>
        <w:rPr>
          <w:rFonts w:hint="eastAsia" w:ascii="仿宋_GB2312" w:eastAsia="仿宋_GB2312"/>
          <w:color w:val="000000"/>
          <w:sz w:val="28"/>
          <w:szCs w:val="28"/>
        </w:rPr>
        <w:t>销售机构为准，且利息部分不计入认购本金。购买资金冻结期间，甲方不得提取或转移已冻结资金。</w:t>
      </w:r>
    </w:p>
    <w:bookmarkEnd w:id="33"/>
    <w:p>
      <w:pPr>
        <w:spacing w:line="500" w:lineRule="exact"/>
        <w:ind w:firstLine="560" w:firstLineChars="200"/>
        <w:rPr>
          <w:rFonts w:ascii="仿宋_GB2312" w:eastAsia="仿宋_GB2312"/>
          <w:color w:val="000000"/>
          <w:sz w:val="28"/>
          <w:szCs w:val="28"/>
        </w:rPr>
      </w:pPr>
      <w:bookmarkStart w:id="34" w:name="_Hlk90633521"/>
      <w:r>
        <w:rPr>
          <w:rFonts w:hint="eastAsia" w:ascii="仿宋_GB2312" w:eastAsia="仿宋_GB2312"/>
          <w:color w:val="000000"/>
          <w:sz w:val="28"/>
          <w:szCs w:val="28"/>
        </w:rPr>
        <w:t>在本理财产品存续期内，甲方不得将授权指定账户销户，亦不得要求乙方提前退还被扣划资金。若在本理财产品存续期内，因非乙方原因导致理财产品、甲方投资本金或甲方账户遭到司法机关等有权机关冻结、扣划或采取其他强制措施的，或者甲方注销授权指定账户的，由此导致的损失由甲方承担，乙方不承担任何责任。</w:t>
      </w:r>
      <w:bookmarkEnd w:id="34"/>
      <w:r>
        <w:rPr>
          <w:rFonts w:hint="eastAsia" w:ascii="仿宋_GB2312" w:eastAsia="仿宋_GB2312"/>
          <w:color w:val="000000"/>
          <w:sz w:val="28"/>
          <w:szCs w:val="28"/>
        </w:rPr>
        <w:t>本理财</w:t>
      </w:r>
      <w:r>
        <w:rPr>
          <w:rFonts w:ascii="仿宋_GB2312" w:eastAsia="仿宋_GB2312"/>
          <w:color w:val="000000"/>
          <w:sz w:val="28"/>
          <w:szCs w:val="28"/>
        </w:rPr>
        <w:t>产品到期后，乙方将</w:t>
      </w:r>
      <w:r>
        <w:rPr>
          <w:rFonts w:hint="eastAsia" w:ascii="仿宋_GB2312" w:eastAsia="仿宋_GB2312"/>
          <w:color w:val="000000"/>
          <w:sz w:val="28"/>
          <w:szCs w:val="28"/>
        </w:rPr>
        <w:t>根据本理财产品的产品说明书约定，</w:t>
      </w:r>
      <w:r>
        <w:rPr>
          <w:rFonts w:ascii="仿宋_GB2312" w:eastAsia="仿宋_GB2312"/>
          <w:color w:val="000000"/>
          <w:sz w:val="28"/>
          <w:szCs w:val="28"/>
        </w:rPr>
        <w:t>将本理财产品的本金</w:t>
      </w:r>
      <w:r>
        <w:rPr>
          <w:rFonts w:hint="eastAsia" w:ascii="仿宋_GB2312" w:eastAsia="仿宋_GB2312"/>
          <w:color w:val="000000"/>
          <w:sz w:val="28"/>
          <w:szCs w:val="28"/>
        </w:rPr>
        <w:t>（如有）</w:t>
      </w:r>
      <w:r>
        <w:rPr>
          <w:rFonts w:ascii="仿宋_GB2312" w:eastAsia="仿宋_GB2312"/>
          <w:color w:val="000000"/>
          <w:sz w:val="28"/>
          <w:szCs w:val="28"/>
        </w:rPr>
        <w:t>及收益</w:t>
      </w:r>
      <w:r>
        <w:rPr>
          <w:rFonts w:hint="eastAsia" w:ascii="仿宋_GB2312" w:eastAsia="仿宋_GB2312"/>
          <w:color w:val="000000"/>
          <w:sz w:val="28"/>
          <w:szCs w:val="28"/>
        </w:rPr>
        <w:t>（如有）划付</w:t>
      </w:r>
      <w:r>
        <w:rPr>
          <w:rFonts w:ascii="仿宋_GB2312" w:eastAsia="仿宋_GB2312"/>
          <w:color w:val="000000"/>
          <w:sz w:val="28"/>
          <w:szCs w:val="28"/>
        </w:rPr>
        <w:t>至</w:t>
      </w:r>
      <w:r>
        <w:rPr>
          <w:rFonts w:hint="eastAsia" w:ascii="仿宋_GB2312" w:eastAsia="仿宋_GB2312"/>
          <w:color w:val="000000"/>
          <w:sz w:val="28"/>
          <w:szCs w:val="28"/>
        </w:rPr>
        <w:t>甲方授权</w:t>
      </w:r>
      <w:r>
        <w:rPr>
          <w:rFonts w:ascii="仿宋_GB2312" w:eastAsia="仿宋_GB2312"/>
          <w:color w:val="000000"/>
          <w:sz w:val="28"/>
          <w:szCs w:val="28"/>
        </w:rPr>
        <w:t>指定账户。</w:t>
      </w:r>
    </w:p>
    <w:p>
      <w:pPr>
        <w:spacing w:line="470" w:lineRule="exact"/>
        <w:ind w:firstLine="537" w:firstLineChars="192"/>
        <w:rPr>
          <w:rFonts w:ascii="仿宋_GB2312" w:eastAsia="仿宋_GB2312"/>
          <w:sz w:val="28"/>
          <w:szCs w:val="28"/>
        </w:rPr>
      </w:pPr>
      <w:r>
        <w:rPr>
          <w:rFonts w:hint="eastAsia" w:ascii="仿宋_GB2312" w:eastAsia="仿宋_GB2312"/>
          <w:sz w:val="28"/>
          <w:szCs w:val="28"/>
        </w:rPr>
        <w:t>第四条  乙方根据理财产品销售文件约定将甲方授权指定账户中的足额资金进行扣划，用于购买本理财产品。在此之前，甲方支付的部分或全部交易资金被有权机关冻结或扣划，或被采取其他强制措施、甲方未能及时补足与交易本金等额的款项等非乙方原因导致资金不能按时、足额划转，则交易不成立，本协议自动失效。</w:t>
      </w:r>
    </w:p>
    <w:p>
      <w:pPr>
        <w:spacing w:line="470" w:lineRule="exact"/>
        <w:ind w:firstLine="537" w:firstLineChars="192"/>
        <w:rPr>
          <w:rFonts w:ascii="仿宋_GB2312" w:eastAsia="仿宋_GB2312"/>
          <w:color w:val="000000"/>
          <w:sz w:val="28"/>
          <w:szCs w:val="28"/>
        </w:rPr>
      </w:pPr>
      <w:r>
        <w:rPr>
          <w:rFonts w:hint="eastAsia" w:ascii="仿宋_GB2312" w:eastAsia="仿宋_GB2312"/>
          <w:sz w:val="28"/>
          <w:szCs w:val="28"/>
        </w:rPr>
        <w:t>授权指定账户内的资金</w:t>
      </w:r>
      <w:r>
        <w:rPr>
          <w:rFonts w:hint="eastAsia" w:ascii="仿宋_GB2312" w:eastAsia="仿宋_GB2312"/>
          <w:color w:val="000000"/>
          <w:sz w:val="28"/>
          <w:szCs w:val="28"/>
        </w:rPr>
        <w:t>以乙方公布的活期存款利率计息。</w:t>
      </w:r>
    </w:p>
    <w:p>
      <w:pPr>
        <w:spacing w:line="470" w:lineRule="exact"/>
        <w:rPr>
          <w:rFonts w:ascii="仿宋_GB2312" w:eastAsia="仿宋_GB2312"/>
          <w:sz w:val="28"/>
          <w:szCs w:val="28"/>
        </w:rPr>
      </w:pPr>
      <w:r>
        <w:rPr>
          <w:rFonts w:hint="eastAsia" w:ascii="仿宋_GB2312" w:eastAsia="仿宋_GB2312"/>
          <w:sz w:val="28"/>
          <w:szCs w:val="28"/>
        </w:rPr>
        <w:t xml:space="preserve">    第五条  在本理财产品存续期内，除非按照本理财产品销售文件约定甲方可以行使提前终止权或赎回权的，甲方不得要求乙方提前退还被扣划资金，且不得将授权指定账户销户。如所认购的产品在其产品说明书中描述为不得质押、转让的，则不可向任何第三方质押、转让。</w:t>
      </w:r>
    </w:p>
    <w:p>
      <w:pPr>
        <w:spacing w:line="470" w:lineRule="exact"/>
        <w:rPr>
          <w:rFonts w:ascii="黑体" w:eastAsia="黑体"/>
          <w:b/>
          <w:sz w:val="28"/>
          <w:szCs w:val="28"/>
        </w:rPr>
      </w:pPr>
      <w:r>
        <w:rPr>
          <w:rFonts w:hint="eastAsia" w:ascii="仿宋_GB2312" w:eastAsia="仿宋_GB2312"/>
          <w:sz w:val="28"/>
          <w:szCs w:val="28"/>
        </w:rPr>
        <w:t xml:space="preserve">   </w:t>
      </w:r>
      <w:r>
        <w:rPr>
          <w:rFonts w:hint="eastAsia" w:ascii="仿宋_GB2312" w:eastAsia="仿宋_GB2312"/>
          <w:b/>
          <w:sz w:val="28"/>
          <w:szCs w:val="28"/>
        </w:rPr>
        <w:t xml:space="preserve"> </w:t>
      </w:r>
      <w:r>
        <w:rPr>
          <w:rFonts w:hint="eastAsia" w:ascii="仿宋_GB2312" w:eastAsia="仿宋_GB2312"/>
          <w:sz w:val="28"/>
          <w:szCs w:val="28"/>
        </w:rPr>
        <w:t>如遇国家政策重大调整，或市场发生重大波动等，经乙方独立判断，出现将严重影响到本理财产品所投资资产安全的事件或其他理财产品销售文件约定的情形时，乙方有权提前终止本理财产品。</w:t>
      </w:r>
    </w:p>
    <w:p>
      <w:pPr>
        <w:spacing w:line="470" w:lineRule="exact"/>
        <w:ind w:firstLine="570"/>
        <w:rPr>
          <w:rFonts w:ascii="仿宋_GB2312" w:eastAsia="仿宋_GB2312"/>
          <w:sz w:val="28"/>
          <w:szCs w:val="28"/>
        </w:rPr>
      </w:pPr>
      <w:r>
        <w:rPr>
          <w:rFonts w:hint="eastAsia" w:ascii="仿宋_GB2312" w:eastAsia="仿宋_GB2312"/>
          <w:sz w:val="28"/>
          <w:szCs w:val="28"/>
        </w:rPr>
        <w:t xml:space="preserve">第六条  </w:t>
      </w:r>
      <w:bookmarkStart w:id="35" w:name="_Hlk90642750"/>
      <w:r>
        <w:rPr>
          <w:rFonts w:hint="eastAsia" w:ascii="仿宋_GB2312" w:eastAsia="仿宋_GB2312"/>
          <w:sz w:val="28"/>
          <w:szCs w:val="28"/>
        </w:rPr>
        <w:t>乙方有权依照理财产品销售文件约定的收费标准和收费方式向甲方收取相关费用。</w:t>
      </w:r>
    </w:p>
    <w:p>
      <w:pPr>
        <w:spacing w:line="470" w:lineRule="exact"/>
        <w:ind w:firstLine="570"/>
        <w:rPr>
          <w:rFonts w:ascii="仿宋_GB2312" w:eastAsia="仿宋_GB2312"/>
          <w:sz w:val="28"/>
          <w:szCs w:val="28"/>
        </w:rPr>
      </w:pPr>
      <w:r>
        <w:rPr>
          <w:rFonts w:hint="eastAsia" w:ascii="仿宋_GB2312" w:eastAsia="仿宋_GB2312"/>
          <w:sz w:val="28"/>
          <w:szCs w:val="28"/>
        </w:rPr>
        <w:t>除法律法规另有规定或理财产品销售文件另有约定外，乙方不负责代扣代缴甲方应缴纳的税款。</w:t>
      </w:r>
      <w:bookmarkEnd w:id="35"/>
    </w:p>
    <w:p>
      <w:pPr>
        <w:spacing w:line="470" w:lineRule="exact"/>
        <w:ind w:firstLine="560" w:firstLineChars="200"/>
        <w:rPr>
          <w:rFonts w:ascii="仿宋_GB2312" w:eastAsia="仿宋_GB2312"/>
          <w:sz w:val="28"/>
          <w:szCs w:val="28"/>
        </w:rPr>
      </w:pPr>
      <w:r>
        <w:rPr>
          <w:rFonts w:hint="eastAsia" w:ascii="仿宋_GB2312" w:eastAsia="仿宋_GB2312"/>
          <w:sz w:val="28"/>
          <w:szCs w:val="28"/>
        </w:rPr>
        <w:t>第七条  免责条款</w:t>
      </w:r>
    </w:p>
    <w:p>
      <w:pPr>
        <w:spacing w:line="470" w:lineRule="exact"/>
        <w:rPr>
          <w:rFonts w:ascii="仿宋_GB2312" w:eastAsia="仿宋_GB2312"/>
          <w:sz w:val="28"/>
          <w:szCs w:val="28"/>
        </w:rPr>
      </w:pPr>
      <w:r>
        <w:rPr>
          <w:rFonts w:hint="eastAsia" w:ascii="仿宋_GB2312" w:eastAsia="仿宋_GB2312"/>
          <w:sz w:val="28"/>
          <w:szCs w:val="28"/>
        </w:rPr>
        <w:t xml:space="preserve">    （一）</w:t>
      </w:r>
      <w:r>
        <w:rPr>
          <w:rFonts w:hint="eastAsia" w:ascii="黑体" w:eastAsia="黑体"/>
          <w:sz w:val="28"/>
          <w:szCs w:val="28"/>
        </w:rPr>
        <w:t>由于地震、火灾、战争、罢工</w:t>
      </w:r>
      <w:bookmarkStart w:id="36" w:name="_Hlk90642778"/>
      <w:r>
        <w:rPr>
          <w:rFonts w:hint="eastAsia" w:ascii="黑体" w:eastAsia="黑体"/>
          <w:sz w:val="28"/>
          <w:szCs w:val="28"/>
        </w:rPr>
        <w:t>、系统故障、通讯故障</w:t>
      </w:r>
      <w:bookmarkEnd w:id="36"/>
      <w:r>
        <w:rPr>
          <w:rFonts w:hint="eastAsia" w:ascii="黑体" w:eastAsia="黑体"/>
          <w:sz w:val="28"/>
          <w:szCs w:val="28"/>
        </w:rPr>
        <w:t>或者国家有关法律、法规、规章、政策的改变、紧急措施的出台等不可抗力导致的交易中断、延误、禁止等任何风险及损失，乙方不承担责任</w:t>
      </w:r>
      <w:r>
        <w:rPr>
          <w:rFonts w:hint="eastAsia" w:ascii="仿宋_GB2312" w:eastAsia="仿宋_GB2312"/>
          <w:sz w:val="28"/>
          <w:szCs w:val="28"/>
        </w:rPr>
        <w:t>，但应在客观条件允许的情况下及时通知甲方，并采取一切必要的补救措施以减小不可抗力造成的损失。</w:t>
      </w:r>
    </w:p>
    <w:p>
      <w:pPr>
        <w:spacing w:line="470" w:lineRule="exact"/>
        <w:rPr>
          <w:rFonts w:ascii="仿宋_GB2312" w:eastAsia="仿宋_GB2312"/>
          <w:sz w:val="28"/>
          <w:szCs w:val="28"/>
        </w:rPr>
      </w:pPr>
      <w:r>
        <w:rPr>
          <w:rFonts w:hint="eastAsia" w:ascii="仿宋_GB2312" w:eastAsia="仿宋_GB2312"/>
          <w:sz w:val="28"/>
          <w:szCs w:val="28"/>
        </w:rPr>
        <w:t xml:space="preserve">    （二）</w:t>
      </w:r>
      <w:r>
        <w:rPr>
          <w:rFonts w:hint="eastAsia" w:ascii="黑体" w:eastAsia="黑体"/>
          <w:sz w:val="28"/>
          <w:szCs w:val="28"/>
        </w:rPr>
        <w:t>由于产品募集份额未达到理财产品说明书中标明的最低发行量，或国家有关法律、法规、规章、政策的改变、紧急措施的出台或由于重大市场变化或其他原因而导致本期理财产品无法成立，乙方不承担责任。</w:t>
      </w:r>
      <w:r>
        <w:rPr>
          <w:rFonts w:hint="eastAsia" w:ascii="仿宋_GB2312" w:eastAsia="仿宋_GB2312"/>
          <w:sz w:val="28"/>
          <w:szCs w:val="28"/>
        </w:rPr>
        <w:t>若本期理财产品无法成立的，乙方应于本期理财产品发行期届满之日起5个工作日内将认购款项返还甲方，并根据约定对全额认购资金于银行账户中的实际留存期按乙方公布的活期存款利率计付利息。</w:t>
      </w:r>
    </w:p>
    <w:p>
      <w:pPr>
        <w:spacing w:line="470" w:lineRule="exact"/>
        <w:rPr>
          <w:rFonts w:ascii="仿宋_GB2312" w:eastAsia="仿宋_GB2312"/>
          <w:sz w:val="28"/>
          <w:szCs w:val="28"/>
        </w:rPr>
      </w:pPr>
      <w:r>
        <w:rPr>
          <w:rFonts w:hint="eastAsia" w:ascii="仿宋_GB2312" w:eastAsia="仿宋_GB2312"/>
          <w:sz w:val="28"/>
          <w:szCs w:val="28"/>
        </w:rPr>
        <w:t xml:space="preserve">    （三）</w:t>
      </w:r>
      <w:r>
        <w:rPr>
          <w:rFonts w:hint="eastAsia" w:ascii="黑体" w:eastAsia="黑体"/>
          <w:sz w:val="28"/>
          <w:szCs w:val="28"/>
        </w:rPr>
        <w:t>本协议中涉及的所有日期如遇非银行工作日（“工作日”指银行对公业务正常营业日，不含法定节假日），则顺延至下一个工作日，未能及时认购理财产品等风险，由甲方自行承担。</w:t>
      </w:r>
    </w:p>
    <w:p>
      <w:pPr>
        <w:spacing w:line="470" w:lineRule="exact"/>
        <w:ind w:firstLine="555"/>
        <w:rPr>
          <w:rFonts w:ascii="仿宋_GB2312" w:eastAsia="仿宋_GB2312"/>
          <w:sz w:val="28"/>
          <w:szCs w:val="28"/>
        </w:rPr>
      </w:pPr>
      <w:r>
        <w:rPr>
          <w:rFonts w:hint="eastAsia" w:ascii="仿宋_GB2312" w:eastAsia="仿宋_GB2312"/>
          <w:sz w:val="28"/>
          <w:szCs w:val="28"/>
        </w:rPr>
        <w:t>（四）在本理财产品存续期内，如因有权机关采取强制措施导致甲方理财产品被冻结、扣划或处置的，乙方不承担责任，本协议自动终止。</w:t>
      </w:r>
      <w:r>
        <w:rPr>
          <w:rFonts w:hint="eastAsia" w:ascii="黑体" w:eastAsia="黑体"/>
          <w:sz w:val="28"/>
          <w:szCs w:val="28"/>
        </w:rPr>
        <w:t>此种情况下，乙方不计付本理财产品任何收益及被扣划的相应理财产品本金部分</w:t>
      </w:r>
      <w:r>
        <w:rPr>
          <w:rFonts w:hint="eastAsia" w:ascii="仿宋_GB2312" w:eastAsia="仿宋_GB2312"/>
          <w:sz w:val="28"/>
          <w:szCs w:val="28"/>
        </w:rPr>
        <w:t>。</w:t>
      </w:r>
    </w:p>
    <w:p>
      <w:pPr>
        <w:spacing w:line="470" w:lineRule="exact"/>
        <w:ind w:firstLine="700" w:firstLineChars="250"/>
        <w:rPr>
          <w:rFonts w:ascii="黑体" w:eastAsia="黑体"/>
          <w:sz w:val="28"/>
          <w:szCs w:val="28"/>
        </w:rPr>
      </w:pPr>
      <w:r>
        <w:rPr>
          <w:rFonts w:hint="eastAsia" w:ascii="黑体" w:eastAsia="黑体"/>
          <w:sz w:val="28"/>
          <w:szCs w:val="28"/>
        </w:rPr>
        <w:t>第八条  甲方重要声明与承诺：</w:t>
      </w:r>
    </w:p>
    <w:p>
      <w:pPr>
        <w:spacing w:line="470" w:lineRule="exact"/>
        <w:rPr>
          <w:rFonts w:ascii="仿宋_GB2312" w:eastAsia="仿宋_GB2312"/>
          <w:sz w:val="28"/>
          <w:szCs w:val="28"/>
        </w:rPr>
      </w:pPr>
      <w:r>
        <w:rPr>
          <w:rFonts w:hint="eastAsia" w:ascii="仿宋_GB2312" w:eastAsia="仿宋_GB2312"/>
          <w:sz w:val="28"/>
          <w:szCs w:val="28"/>
        </w:rPr>
        <w:t xml:space="preserve">    （一）甲方是根据中国法律合法成立并有效存续的企事业法人或其他组织，</w:t>
      </w:r>
      <w:bookmarkStart w:id="37" w:name="_Hlk90641312"/>
      <w:r>
        <w:rPr>
          <w:rFonts w:hint="eastAsia" w:ascii="仿宋_GB2312" w:eastAsia="仿宋_GB2312"/>
          <w:sz w:val="28"/>
          <w:szCs w:val="28"/>
        </w:rPr>
        <w:t>签署本协议符合对甲方具有约束力的法律法规等相关规定，不存在法律法规、有权机关或主管机关禁止或限制其购买本理财产品的各种情形，其购买本理财产品的行为亦未违反任何限制性规定。甲方签署和履行本协议系其真实意思表示。甲方确认其具有签订和履行本协议的权利和能力，且已经取得所需的一切有关授权、批准、许可、同意、备案或者登记，不存在任何法律上的瑕疵。否则，由此导致的后果应由甲方自行承担，并赔偿因此给乙方带来的损失。</w:t>
      </w:r>
      <w:bookmarkEnd w:id="37"/>
    </w:p>
    <w:p>
      <w:pPr>
        <w:spacing w:line="470" w:lineRule="exact"/>
        <w:ind w:firstLine="570"/>
        <w:rPr>
          <w:rFonts w:ascii="仿宋_GB2312" w:eastAsia="仿宋_GB2312"/>
          <w:sz w:val="28"/>
          <w:szCs w:val="28"/>
        </w:rPr>
      </w:pPr>
      <w:r>
        <w:rPr>
          <w:rFonts w:hint="eastAsia" w:ascii="仿宋_GB2312" w:eastAsia="仿宋_GB2312"/>
          <w:sz w:val="28"/>
          <w:szCs w:val="28"/>
        </w:rPr>
        <w:t>（二）甲方认购本理财产品的资金</w:t>
      </w:r>
      <w:bookmarkStart w:id="38" w:name="_Hlk90641330"/>
      <w:r>
        <w:rPr>
          <w:rFonts w:hint="eastAsia" w:ascii="仿宋_GB2312" w:eastAsia="仿宋_GB2312"/>
          <w:sz w:val="28"/>
          <w:szCs w:val="28"/>
        </w:rPr>
        <w:t>为</w:t>
      </w:r>
      <w:r>
        <w:rPr>
          <w:rFonts w:ascii="仿宋_GB2312" w:eastAsia="仿宋_GB2312"/>
          <w:sz w:val="28"/>
          <w:szCs w:val="28"/>
        </w:rPr>
        <w:t>甲方自有资金，</w:t>
      </w:r>
      <w:r>
        <w:rPr>
          <w:rFonts w:hint="eastAsia" w:ascii="仿宋_GB2312" w:eastAsia="仿宋_GB2312"/>
          <w:sz w:val="28"/>
          <w:szCs w:val="28"/>
        </w:rPr>
        <w:t>非贷款资金、发行债券等筹集的资金，</w:t>
      </w:r>
      <w:bookmarkEnd w:id="38"/>
      <w:r>
        <w:rPr>
          <w:rFonts w:hint="eastAsia" w:ascii="仿宋_GB2312" w:eastAsia="仿宋_GB2312"/>
          <w:sz w:val="28"/>
          <w:szCs w:val="28"/>
        </w:rPr>
        <w:t>来源合法有效，并有权支配和处分该款项。</w:t>
      </w:r>
      <w:bookmarkStart w:id="39" w:name="_Hlk90641338"/>
      <w:r>
        <w:rPr>
          <w:rFonts w:hint="eastAsia" w:ascii="仿宋_GB2312" w:eastAsia="仿宋_GB2312"/>
          <w:sz w:val="28"/>
          <w:szCs w:val="28"/>
        </w:rPr>
        <w:t>如本理财产品为私募理财产品的，则甲方承诺其为</w:t>
      </w:r>
      <w:r>
        <w:rPr>
          <w:rFonts w:ascii="仿宋_GB2312" w:eastAsia="仿宋_GB2312"/>
          <w:sz w:val="28"/>
          <w:szCs w:val="28"/>
        </w:rPr>
        <w:t>具备相应风险识别能力和风险承担能力</w:t>
      </w:r>
      <w:r>
        <w:rPr>
          <w:rFonts w:hint="eastAsia" w:ascii="仿宋_GB2312" w:eastAsia="仿宋_GB2312"/>
          <w:sz w:val="28"/>
          <w:szCs w:val="28"/>
        </w:rPr>
        <w:t>、</w:t>
      </w:r>
      <w:r>
        <w:rPr>
          <w:rFonts w:ascii="仿宋_GB2312" w:eastAsia="仿宋_GB2312"/>
          <w:sz w:val="28"/>
          <w:szCs w:val="28"/>
        </w:rPr>
        <w:t>投资于单只</w:t>
      </w:r>
      <w:r>
        <w:rPr>
          <w:rFonts w:hint="eastAsia" w:ascii="仿宋_GB2312" w:eastAsia="仿宋_GB2312"/>
          <w:sz w:val="28"/>
          <w:szCs w:val="28"/>
        </w:rPr>
        <w:t>理财</w:t>
      </w:r>
      <w:r>
        <w:rPr>
          <w:rFonts w:ascii="仿宋_GB2312" w:eastAsia="仿宋_GB2312"/>
          <w:sz w:val="28"/>
          <w:szCs w:val="28"/>
        </w:rPr>
        <w:t>产品不低于一定金额的</w:t>
      </w:r>
      <w:r>
        <w:rPr>
          <w:rFonts w:hint="eastAsia" w:ascii="仿宋_GB2312" w:eastAsia="仿宋_GB2312"/>
          <w:sz w:val="28"/>
          <w:szCs w:val="28"/>
        </w:rPr>
        <w:t>合格</w:t>
      </w:r>
      <w:r>
        <w:rPr>
          <w:rFonts w:ascii="仿宋_GB2312" w:eastAsia="仿宋_GB2312"/>
          <w:sz w:val="28"/>
          <w:szCs w:val="28"/>
        </w:rPr>
        <w:t>投资者</w:t>
      </w:r>
      <w:r>
        <w:rPr>
          <w:rFonts w:hint="eastAsia" w:ascii="仿宋_GB2312" w:eastAsia="仿宋_GB2312"/>
          <w:sz w:val="28"/>
          <w:szCs w:val="28"/>
        </w:rPr>
        <w:t>，并符合以下条件：</w:t>
      </w:r>
    </w:p>
    <w:p>
      <w:pPr>
        <w:spacing w:line="470" w:lineRule="exact"/>
        <w:ind w:firstLine="570"/>
        <w:rPr>
          <w:rFonts w:ascii="仿宋_GB2312" w:eastAsia="仿宋_GB2312"/>
          <w:sz w:val="28"/>
          <w:szCs w:val="28"/>
        </w:rPr>
      </w:pPr>
      <w:r>
        <w:rPr>
          <w:rFonts w:hint="eastAsia" w:ascii="仿宋_GB2312" w:eastAsia="仿宋_GB2312"/>
          <w:sz w:val="28"/>
          <w:szCs w:val="28"/>
        </w:rPr>
        <w:t>1、甲方为最近1年</w:t>
      </w:r>
      <w:r>
        <w:rPr>
          <w:rFonts w:ascii="仿宋_GB2312" w:eastAsia="仿宋_GB2312"/>
          <w:sz w:val="28"/>
          <w:szCs w:val="28"/>
        </w:rPr>
        <w:t>末净资产不低于</w:t>
      </w:r>
      <w:r>
        <w:rPr>
          <w:rFonts w:hint="eastAsia" w:ascii="仿宋_GB2312" w:eastAsia="仿宋_GB2312"/>
          <w:sz w:val="28"/>
          <w:szCs w:val="28"/>
        </w:rPr>
        <w:t>1000万元人民币的法人或者依法成立的其他组织；</w:t>
      </w:r>
    </w:p>
    <w:p>
      <w:pPr>
        <w:spacing w:line="470" w:lineRule="exact"/>
        <w:ind w:firstLine="570"/>
        <w:rPr>
          <w:rFonts w:ascii="仿宋_GB2312" w:eastAsia="仿宋_GB2312"/>
          <w:sz w:val="28"/>
          <w:szCs w:val="28"/>
        </w:rPr>
      </w:pPr>
      <w:r>
        <w:rPr>
          <w:rFonts w:hint="eastAsia" w:ascii="仿宋_GB2312" w:eastAsia="仿宋_GB2312"/>
          <w:sz w:val="28"/>
          <w:szCs w:val="28"/>
        </w:rPr>
        <w:t>2、投资于单只固定收益类理财产品的金额不得低于30万元人民币, 投资于单只混合类理财产品的金额不得低于40万元人民币, 投资于单只权益类理财产品、单只商品及金融衍生品类理财产品的金额不得低于100万元人民币；</w:t>
      </w:r>
    </w:p>
    <w:p>
      <w:pPr>
        <w:spacing w:line="470" w:lineRule="exact"/>
        <w:ind w:firstLine="570"/>
        <w:rPr>
          <w:rFonts w:hint="eastAsia" w:ascii="仿宋_GB2312" w:eastAsia="仿宋_GB2312"/>
          <w:sz w:val="28"/>
          <w:szCs w:val="28"/>
        </w:rPr>
      </w:pPr>
      <w:r>
        <w:rPr>
          <w:rFonts w:hint="eastAsia" w:ascii="仿宋_GB2312" w:eastAsia="仿宋_GB2312"/>
          <w:sz w:val="28"/>
          <w:szCs w:val="28"/>
        </w:rPr>
        <w:t>3、符合国务院金融监督管理机构规定的其他情形。</w:t>
      </w:r>
    </w:p>
    <w:p>
      <w:pPr>
        <w:spacing w:line="470" w:lineRule="exact"/>
        <w:ind w:firstLine="570"/>
        <w:rPr>
          <w:rFonts w:hint="default" w:ascii="仿宋_GB2312" w:eastAsia="仿宋_GB2312"/>
          <w:sz w:val="28"/>
          <w:szCs w:val="28"/>
          <w:lang w:eastAsia="zh-CN"/>
        </w:rPr>
      </w:pPr>
      <w:r>
        <w:rPr>
          <w:rFonts w:hint="default" w:ascii="仿宋_GB2312" w:hAnsi="Times New Roman" w:eastAsia="仿宋_GB2312" w:cs="Times New Roman"/>
          <w:kern w:val="2"/>
          <w:sz w:val="28"/>
          <w:szCs w:val="28"/>
          <w:lang w:bidi="ar"/>
        </w:rPr>
        <w:t>甲方承诺</w:t>
      </w:r>
      <w:r>
        <w:rPr>
          <w:rFonts w:hint="default" w:ascii="仿宋_GB2312" w:hAnsi="Times New Roman" w:eastAsia="仿宋_GB2312" w:cs="Times New Roman"/>
          <w:kern w:val="2"/>
          <w:sz w:val="28"/>
          <w:szCs w:val="28"/>
          <w:lang w:val="en-US" w:eastAsia="zh-CN" w:bidi="ar"/>
        </w:rPr>
        <w:t>其</w:t>
      </w:r>
      <w:r>
        <w:rPr>
          <w:rFonts w:hint="default" w:ascii="仿宋_GB2312" w:hAnsi="Times New Roman" w:eastAsia="仿宋_GB2312" w:cs="Times New Roman"/>
          <w:kern w:val="2"/>
          <w:sz w:val="28"/>
          <w:szCs w:val="28"/>
          <w:lang w:bidi="ar"/>
        </w:rPr>
        <w:t>投资理财产品不存在违反监管要求的产品嵌套，以及以投资本理财产品从事规避投资范围、杠杆约束等监管要求等的通道业务违法违规行为</w:t>
      </w:r>
      <w:r>
        <w:rPr>
          <w:rFonts w:hint="default" w:ascii="仿宋_GB2312" w:hAnsi="Times New Roman" w:eastAsia="仿宋_GB2312" w:cs="Times New Roman"/>
          <w:kern w:val="2"/>
          <w:sz w:val="28"/>
          <w:szCs w:val="28"/>
          <w:lang w:eastAsia="zh-CN" w:bidi="ar"/>
        </w:rPr>
        <w:t>；</w:t>
      </w:r>
      <w:r>
        <w:rPr>
          <w:rFonts w:hint="default" w:ascii="仿宋_GB2312" w:hAnsi="Times New Roman" w:eastAsia="仿宋_GB2312" w:cs="Times New Roman"/>
          <w:kern w:val="2"/>
          <w:sz w:val="28"/>
          <w:szCs w:val="28"/>
          <w:lang w:bidi="ar"/>
        </w:rPr>
        <w:t>甲方以其管理的私募资产管理产品投资于理财产品的，该私募资产管理产品的所有投资者为符合法律法规规定的合格投资者且委托财产来源合法合规</w:t>
      </w:r>
      <w:r>
        <w:rPr>
          <w:rFonts w:hint="default" w:ascii="仿宋_GB2312" w:hAnsi="Times New Roman" w:eastAsia="仿宋_GB2312" w:cs="Times New Roman"/>
          <w:kern w:val="2"/>
          <w:sz w:val="28"/>
          <w:szCs w:val="28"/>
          <w:lang w:eastAsia="zh-CN" w:bidi="ar"/>
        </w:rPr>
        <w:t>。</w:t>
      </w:r>
    </w:p>
    <w:p>
      <w:pPr>
        <w:spacing w:line="470" w:lineRule="exact"/>
        <w:ind w:firstLine="570"/>
        <w:rPr>
          <w:rFonts w:ascii="仿宋_GB2312" w:eastAsia="仿宋_GB2312"/>
          <w:sz w:val="28"/>
          <w:szCs w:val="28"/>
        </w:rPr>
      </w:pPr>
      <w:r>
        <w:rPr>
          <w:rFonts w:hint="eastAsia" w:ascii="仿宋_GB2312" w:eastAsia="仿宋_GB2312"/>
          <w:sz w:val="28"/>
          <w:szCs w:val="28"/>
        </w:rPr>
        <w:t>（三）甲方承诺所提供给乙方的所有文件、资料、信息均真实、准确、完整、有效且无任何误导性陈述、虚假记载或重大遗漏或隐瞒，如有变更，甲方应及时办理变更手续。因甲方未及时办理相关变更手续所造成的损失，甲方自行承担责任。</w:t>
      </w:r>
      <w:bookmarkEnd w:id="39"/>
    </w:p>
    <w:p>
      <w:pPr>
        <w:spacing w:line="470" w:lineRule="exact"/>
        <w:ind w:firstLine="555"/>
        <w:rPr>
          <w:rFonts w:ascii="黑体" w:eastAsia="黑体"/>
          <w:sz w:val="28"/>
          <w:szCs w:val="28"/>
        </w:rPr>
      </w:pPr>
      <w:bookmarkStart w:id="40" w:name="_Hlk90641513"/>
      <w:r>
        <w:rPr>
          <w:rFonts w:hint="eastAsia" w:ascii="黑体" w:eastAsia="黑体"/>
          <w:sz w:val="28"/>
          <w:szCs w:val="28"/>
        </w:rPr>
        <w:t>（四）甲方在签署本销售协议书前，已经认真阅读理财产品销售文件的所有条款和内容，充分认识并愿意承担本理财产品的投资风险。甲方对此不存在任何疑问或异议，并对协议双方的权利义务、乙方的免除责任条款及交易风险等内容有准确和清楚的理解。</w:t>
      </w:r>
    </w:p>
    <w:p>
      <w:pPr>
        <w:spacing w:line="470" w:lineRule="exact"/>
        <w:ind w:firstLine="570"/>
        <w:rPr>
          <w:rFonts w:ascii="仿宋_GB2312" w:eastAsia="仿宋_GB2312"/>
          <w:sz w:val="28"/>
          <w:szCs w:val="28"/>
        </w:rPr>
      </w:pPr>
      <w:r>
        <w:rPr>
          <w:rFonts w:hint="eastAsia" w:ascii="仿宋_GB2312" w:eastAsia="仿宋_GB2312"/>
          <w:sz w:val="28"/>
          <w:szCs w:val="28"/>
        </w:rPr>
        <w:t>（五）甲方保证遵守国家反洗钱、反恐怖融资及非居民金融账户涉税信息尽职调查等相关法律法规及相关政策要求，不从事涉及洗钱、恐怖融资、逃税、逃废债务、套取现金等违法违规活动，积极配合乙方开展投资者身份识别、交易记录保存、甲方身份及交易背景尽职调查、大额和可疑交易报告等各项反洗钱、反恐怖融资及非居民金融账户涉税信息尽职调查工作，并按乙方要求提供相关证明材料。甲方保证其自身或其董事、高级管理人员、代理人或有权签字人未被列入中国有权部门发布的、或联合国、其他国际组织、其他国家（地区）发布的且得到中国承认的制裁名单及反洗钱和反恐怖融资监控名单。</w:t>
      </w:r>
      <w:bookmarkEnd w:id="40"/>
    </w:p>
    <w:p>
      <w:pPr>
        <w:spacing w:line="470" w:lineRule="exact"/>
        <w:rPr>
          <w:rFonts w:ascii="仿宋_GB2312" w:eastAsia="仿宋_GB2312"/>
          <w:sz w:val="28"/>
          <w:szCs w:val="28"/>
        </w:rPr>
      </w:pPr>
      <w:r>
        <w:rPr>
          <w:rFonts w:hint="eastAsia" w:ascii="仿宋_GB2312" w:eastAsia="仿宋_GB2312"/>
          <w:sz w:val="28"/>
          <w:szCs w:val="28"/>
        </w:rPr>
        <w:t xml:space="preserve">    第九条  违约条款</w:t>
      </w:r>
    </w:p>
    <w:p>
      <w:pPr>
        <w:spacing w:line="470" w:lineRule="exact"/>
        <w:ind w:firstLine="566"/>
        <w:rPr>
          <w:rFonts w:ascii="仿宋_GB2312" w:eastAsia="仿宋_GB2312"/>
          <w:sz w:val="28"/>
          <w:szCs w:val="28"/>
        </w:rPr>
      </w:pPr>
      <w:r>
        <w:rPr>
          <w:rFonts w:hint="eastAsia" w:ascii="仿宋_GB2312" w:eastAsia="仿宋_GB2312"/>
          <w:sz w:val="28"/>
          <w:szCs w:val="28"/>
        </w:rPr>
        <w:t>甲、乙双方承诺将切实履行本协议约定义务，任何一方不履行或履行本协议义务不符合约定的，应当承担继续履行、采取补救措施或者赔偿损失等违约责任。</w:t>
      </w:r>
    </w:p>
    <w:p>
      <w:pPr>
        <w:spacing w:line="470" w:lineRule="exact"/>
        <w:rPr>
          <w:rFonts w:ascii="仿宋_GB2312" w:eastAsia="仿宋_GB2312"/>
          <w:sz w:val="28"/>
          <w:szCs w:val="28"/>
        </w:rPr>
      </w:pPr>
      <w:r>
        <w:rPr>
          <w:rFonts w:hint="eastAsia" w:ascii="仿宋_GB2312" w:eastAsia="仿宋_GB2312"/>
          <w:sz w:val="28"/>
          <w:szCs w:val="28"/>
        </w:rPr>
        <w:t xml:space="preserve">    第十条  本协议适用中华人民共和国法律。本协议项下的及与之有关的一切争议，双方应首先友好协商解决，协商不成的，任何一方应向乙方所在地人民法院提起诉讼。</w:t>
      </w:r>
    </w:p>
    <w:p>
      <w:pPr>
        <w:spacing w:line="470" w:lineRule="exact"/>
        <w:rPr>
          <w:rFonts w:ascii="仿宋_GB2312" w:eastAsia="仿宋_GB2312"/>
          <w:sz w:val="28"/>
          <w:szCs w:val="28"/>
        </w:rPr>
      </w:pPr>
      <w:r>
        <w:rPr>
          <w:rFonts w:hint="eastAsia" w:ascii="仿宋_GB2312" w:eastAsia="仿宋_GB2312"/>
          <w:sz w:val="28"/>
          <w:szCs w:val="28"/>
        </w:rPr>
        <w:t xml:space="preserve">    第十一条  本协议与其他的理财产品销售文件共同构成甲、乙双方以及</w:t>
      </w:r>
      <w:r>
        <w:rPr>
          <w:rFonts w:hint="eastAsia" w:ascii="仿宋_GB2312" w:eastAsia="仿宋_GB2312"/>
          <w:sz w:val="28"/>
          <w:szCs w:val="28"/>
          <w:u w:val="single"/>
        </w:rPr>
        <w:t xml:space="preserve">        </w:t>
      </w:r>
      <w:r>
        <w:rPr>
          <w:rFonts w:hint="eastAsia" w:ascii="仿宋_GB2312" w:eastAsia="仿宋_GB2312"/>
          <w:sz w:val="28"/>
          <w:szCs w:val="28"/>
        </w:rPr>
        <w:t>（产品管理人，如涉及代理销售）就甲方通过乙方认购本理财产品相关事宜达成的全部协议，并取代双方在本协议签订之前做出的其他一切书面和口头承诺。</w:t>
      </w:r>
      <w:r>
        <w:rPr>
          <w:rFonts w:hint="eastAsia" w:ascii="黑体" w:eastAsia="黑体"/>
          <w:sz w:val="28"/>
          <w:szCs w:val="28"/>
        </w:rPr>
        <w:t>若其他理财产品销售文件中有关本理财产品的相关约定与本协议有不一致之处，则应以其他理财产品销售文件</w:t>
      </w:r>
      <w:r>
        <w:rPr>
          <w:rFonts w:hint="eastAsia" w:ascii="黑体" w:eastAsia="黑体"/>
          <w:spacing w:val="-2"/>
          <w:sz w:val="28"/>
          <w:szCs w:val="28"/>
        </w:rPr>
        <w:t>为准。</w:t>
      </w:r>
      <w:r>
        <w:rPr>
          <w:rFonts w:hint="eastAsia" w:ascii="仿宋_GB2312" w:eastAsia="仿宋_GB2312"/>
          <w:spacing w:val="-2"/>
          <w:sz w:val="28"/>
          <w:szCs w:val="28"/>
        </w:rPr>
        <w:t>如果因任何原因致使本协议项下的任何条款或内容成为无效或被依法撤销，本协议其他条款或内容的合法性、有效性和可执行性不受影响。</w:t>
      </w:r>
    </w:p>
    <w:p>
      <w:pPr>
        <w:spacing w:line="470" w:lineRule="exact"/>
        <w:rPr>
          <w:rFonts w:ascii="仿宋_GB2312" w:eastAsia="仿宋_GB2312"/>
          <w:b/>
          <w:bCs/>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第十二条 </w:t>
      </w:r>
      <w:r>
        <w:rPr>
          <w:rFonts w:ascii="仿宋_GB2312" w:eastAsia="仿宋_GB2312"/>
          <w:sz w:val="28"/>
          <w:szCs w:val="28"/>
        </w:rPr>
        <w:t xml:space="preserve"> </w:t>
      </w:r>
      <w:r>
        <w:rPr>
          <w:rFonts w:hint="eastAsia" w:ascii="仿宋_GB2312" w:eastAsia="仿宋_GB2312"/>
          <w:b/>
          <w:bCs/>
          <w:sz w:val="28"/>
          <w:szCs w:val="28"/>
        </w:rPr>
        <w:t>甲方在购买乙方销售的私募理财产品后，享有24小时的投资冷静期，投资冷静期自甲方签署理财产品销售文件后起算。在冷静期内，如甲方改变投资决定，应立即在投资冷静期内向乙方提出解除相应理财产品销售文件的申请，乙方/产品管理人应当遵从甲方意愿，解除已签订的理财产品销售文件并及时退还甲方全部投资款项。</w:t>
      </w:r>
    </w:p>
    <w:p>
      <w:pPr>
        <w:spacing w:line="470" w:lineRule="exact"/>
        <w:ind w:firstLine="570"/>
        <w:rPr>
          <w:rFonts w:ascii="仿宋_GB2312" w:eastAsia="仿宋_GB2312"/>
          <w:sz w:val="28"/>
          <w:szCs w:val="28"/>
        </w:rPr>
      </w:pPr>
      <w:r>
        <w:rPr>
          <w:rFonts w:hint="eastAsia" w:ascii="仿宋_GB2312" w:eastAsia="仿宋_GB2312"/>
          <w:sz w:val="28"/>
          <w:szCs w:val="28"/>
        </w:rPr>
        <w:t>第十三条  本协议经双方法定代表人（负责人）或委托代理人签章并加盖公章后生效，本协议一经生效，甲方不得擅自撤销。</w:t>
      </w:r>
    </w:p>
    <w:p>
      <w:pPr>
        <w:spacing w:line="470" w:lineRule="exact"/>
        <w:ind w:firstLine="570"/>
        <w:rPr>
          <w:rFonts w:ascii="仿宋_GB2312" w:eastAsia="仿宋_GB2312"/>
          <w:sz w:val="28"/>
          <w:szCs w:val="28"/>
        </w:rPr>
      </w:pPr>
      <w:bookmarkStart w:id="41" w:name="_Hlk90643298"/>
      <w:r>
        <w:rPr>
          <w:rFonts w:hint="eastAsia" w:ascii="仿宋_GB2312" w:eastAsia="仿宋_GB2312"/>
          <w:sz w:val="28"/>
          <w:szCs w:val="28"/>
        </w:rPr>
        <w:t xml:space="preserve">第十四条 </w:t>
      </w:r>
      <w:r>
        <w:rPr>
          <w:rFonts w:ascii="仿宋_GB2312" w:eastAsia="仿宋_GB2312"/>
          <w:sz w:val="28"/>
          <w:szCs w:val="28"/>
        </w:rPr>
        <w:t xml:space="preserve"> </w:t>
      </w:r>
      <w:r>
        <w:rPr>
          <w:rFonts w:hint="eastAsia" w:ascii="仿宋_GB2312" w:eastAsia="仿宋_GB2312"/>
          <w:sz w:val="28"/>
          <w:szCs w:val="28"/>
        </w:rPr>
        <w:t>如有下列情形之一的，本协议终止：</w:t>
      </w:r>
    </w:p>
    <w:p>
      <w:pPr>
        <w:pStyle w:val="15"/>
        <w:spacing w:line="470" w:lineRule="exact"/>
        <w:ind w:firstLine="560"/>
        <w:rPr>
          <w:rFonts w:ascii="仿宋_GB2312" w:eastAsia="仿宋_GB2312"/>
          <w:sz w:val="28"/>
          <w:szCs w:val="28"/>
        </w:rPr>
      </w:pPr>
      <w:r>
        <w:rPr>
          <w:rFonts w:hint="eastAsia" w:ascii="仿宋_GB2312" w:eastAsia="仿宋_GB2312"/>
          <w:sz w:val="28"/>
          <w:szCs w:val="28"/>
        </w:rPr>
        <w:t>1、本理财产品终止并完成清算的；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2、产品未到期，但甲方单方面违反理财产品销售文件，并导致理财产品销售文件无法继续履行的；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3、产品存续期限内，甲方涉及重大债务纠纷或案件等原因，导致其交易资金被国家有权机关采取保全措施或持有的全部理财产品份额遭到扣划的；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4、法律法规规定的或理财产品销售文件约定的其他终止情形。</w:t>
      </w:r>
    </w:p>
    <w:p>
      <w:pPr>
        <w:pStyle w:val="15"/>
        <w:spacing w:line="470" w:lineRule="exact"/>
        <w:ind w:firstLine="560"/>
        <w:rPr>
          <w:rFonts w:ascii="仿宋_GB2312" w:eastAsia="仿宋_GB2312"/>
          <w:sz w:val="28"/>
          <w:szCs w:val="28"/>
        </w:rPr>
      </w:pPr>
      <w:r>
        <w:rPr>
          <w:rFonts w:hint="eastAsia" w:ascii="仿宋_GB2312" w:eastAsia="仿宋_GB2312"/>
          <w:sz w:val="28"/>
          <w:szCs w:val="28"/>
        </w:rPr>
        <w:t xml:space="preserve">第十五条 </w:t>
      </w:r>
      <w:r>
        <w:rPr>
          <w:rFonts w:ascii="仿宋_GB2312" w:eastAsia="仿宋_GB2312"/>
          <w:sz w:val="28"/>
          <w:szCs w:val="28"/>
        </w:rPr>
        <w:t xml:space="preserve"> </w:t>
      </w:r>
      <w:r>
        <w:rPr>
          <w:rFonts w:hint="eastAsia" w:ascii="仿宋_GB2312" w:eastAsia="仿宋_GB2312"/>
          <w:sz w:val="28"/>
          <w:szCs w:val="28"/>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甲方送达地址等任一事项发生变更的，应最迟于两个工作日内书面通知乙方。</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pStyle w:val="15"/>
        <w:spacing w:line="470" w:lineRule="exact"/>
        <w:ind w:firstLine="560"/>
        <w:rPr>
          <w:rFonts w:ascii="仿宋_GB2312" w:eastAsia="仿宋_GB2312"/>
          <w:sz w:val="28"/>
          <w:szCs w:val="28"/>
        </w:rPr>
      </w:pPr>
      <w:r>
        <w:rPr>
          <w:rFonts w:hint="eastAsia" w:ascii="仿宋_GB2312" w:eastAsia="仿宋_GB2312"/>
          <w:sz w:val="28"/>
          <w:szCs w:val="28"/>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bookmarkEnd w:id="41"/>
    <w:p>
      <w:pPr>
        <w:spacing w:line="480" w:lineRule="exact"/>
        <w:rPr>
          <w:rFonts w:ascii="仿宋_GB2312" w:eastAsia="仿宋_GB2312"/>
          <w:b/>
          <w:sz w:val="28"/>
          <w:szCs w:val="28"/>
        </w:rPr>
      </w:pPr>
      <w:r>
        <w:rPr>
          <w:rFonts w:hint="eastAsia" w:ascii="仿宋_GB2312" w:eastAsia="仿宋_GB2312"/>
          <w:sz w:val="28"/>
          <w:szCs w:val="28"/>
        </w:rPr>
        <w:t xml:space="preserve">    第十六条  本协议一式贰份，甲方执壹份，乙方执壹份，具有同等法律效力。</w:t>
      </w:r>
    </w:p>
    <w:p>
      <w:pPr>
        <w:spacing w:line="240" w:lineRule="auto"/>
        <w:rPr>
          <w:rFonts w:hint="eastAsia" w:ascii="仿宋_GB2312" w:eastAsia="仿宋_GB2312"/>
          <w:b/>
          <w:bCs/>
          <w:sz w:val="28"/>
          <w:szCs w:val="28"/>
        </w:rPr>
      </w:pPr>
    </w:p>
    <w:p>
      <w:pPr>
        <w:spacing w:line="480" w:lineRule="exact"/>
        <w:rPr>
          <w:rFonts w:ascii="仿宋_GB2312" w:eastAsia="仿宋_GB2312"/>
          <w:b/>
          <w:bCs/>
          <w:sz w:val="28"/>
          <w:szCs w:val="28"/>
        </w:rPr>
      </w:pPr>
      <w:r>
        <w:rPr>
          <w:rFonts w:hint="eastAsia" w:ascii="仿宋_GB2312" w:eastAsia="仿宋_GB2312"/>
          <w:b/>
          <w:bCs/>
          <w:sz w:val="28"/>
          <w:szCs w:val="28"/>
        </w:rPr>
        <w:t>甲方重要声明：</w:t>
      </w:r>
    </w:p>
    <w:p>
      <w:pPr>
        <w:spacing w:line="480" w:lineRule="exact"/>
        <w:ind w:firstLine="562" w:firstLineChars="200"/>
        <w:rPr>
          <w:rFonts w:ascii="仿宋_GB2312" w:eastAsia="仿宋_GB2312"/>
          <w:b/>
          <w:bCs/>
          <w:sz w:val="28"/>
          <w:szCs w:val="28"/>
        </w:rPr>
      </w:pPr>
      <w:r>
        <w:rPr>
          <w:rFonts w:hint="eastAsia" w:ascii="仿宋_GB2312" w:eastAsia="仿宋_GB2312"/>
          <w:b/>
          <w:bCs/>
          <w:sz w:val="28"/>
          <w:szCs w:val="28"/>
        </w:rPr>
        <w:t>在签署本协议书前，已认真阅读本协议书及客户权益须知，充分认识理财产品的投资风险以及乙方的</w:t>
      </w:r>
      <w:r>
        <w:rPr>
          <w:rFonts w:ascii="仿宋_GB2312" w:eastAsia="仿宋_GB2312"/>
          <w:b/>
          <w:bCs/>
          <w:sz w:val="28"/>
          <w:szCs w:val="28"/>
        </w:rPr>
        <w:t>免责</w:t>
      </w:r>
      <w:r>
        <w:rPr>
          <w:rFonts w:hint="eastAsia" w:ascii="仿宋_GB2312" w:eastAsia="仿宋_GB2312"/>
          <w:b/>
          <w:bCs/>
          <w:sz w:val="28"/>
          <w:szCs w:val="28"/>
        </w:rPr>
        <w:t>情形，乙方就本协议书的全部条款已向甲方进行了详细地说明和解释，双方对合同的全部条款均无疑义，并对有关权利义务和责任限制或免除条款的法律含义有准确无误的理解。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80" w:lineRule="exact"/>
        <w:ind w:left="4200" w:hanging="4200" w:hangingChars="1500"/>
        <w:rPr>
          <w:rFonts w:ascii="仿宋_GB2312" w:eastAsia="仿宋_GB2312"/>
          <w:sz w:val="28"/>
          <w:szCs w:val="28"/>
        </w:rPr>
      </w:pPr>
    </w:p>
    <w:p>
      <w:pPr>
        <w:spacing w:line="480" w:lineRule="exact"/>
        <w:rPr>
          <w:rFonts w:ascii="仿宋_GB2312" w:eastAsia="仿宋_GB2312"/>
          <w:sz w:val="28"/>
          <w:szCs w:val="28"/>
        </w:rPr>
      </w:pP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甲方（公章）：                       乙方（公章）：</w:t>
      </w:r>
    </w:p>
    <w:p>
      <w:pPr>
        <w:spacing w:line="480" w:lineRule="exact"/>
        <w:ind w:left="4200" w:hanging="4200" w:hangingChars="1500"/>
        <w:rPr>
          <w:rFonts w:ascii="仿宋_GB2312" w:eastAsia="仿宋_GB2312"/>
          <w:sz w:val="28"/>
          <w:szCs w:val="28"/>
        </w:rPr>
      </w:pP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法定代表人</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法定代表人</w:t>
      </w: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（负责人）                          （负责人）</w:t>
      </w: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或委托代理人：                      或委托代理人：</w:t>
      </w:r>
    </w:p>
    <w:p>
      <w:pPr>
        <w:spacing w:line="480" w:lineRule="exact"/>
        <w:ind w:firstLine="1540" w:firstLineChars="550"/>
        <w:rPr>
          <w:rFonts w:ascii="仿宋_GB2312" w:eastAsia="仿宋_GB2312"/>
          <w:sz w:val="28"/>
          <w:szCs w:val="28"/>
        </w:rPr>
      </w:pPr>
      <w:r>
        <w:rPr>
          <w:rFonts w:hint="eastAsia" w:ascii="仿宋_GB2312" w:eastAsia="仿宋_GB2312"/>
          <w:sz w:val="28"/>
          <w:szCs w:val="28"/>
        </w:rPr>
        <w:t>（签章）                             （签章）</w:t>
      </w:r>
    </w:p>
    <w:p>
      <w:pPr>
        <w:spacing w:line="480" w:lineRule="exact"/>
        <w:rPr>
          <w:rFonts w:ascii="仿宋_GB2312" w:eastAsia="仿宋_GB2312"/>
          <w:sz w:val="28"/>
          <w:szCs w:val="28"/>
        </w:rPr>
      </w:pPr>
      <w:r>
        <w:rPr>
          <w:rFonts w:hint="eastAsia" w:ascii="仿宋_GB2312" w:eastAsia="仿宋_GB2312"/>
          <w:sz w:val="28"/>
          <w:szCs w:val="28"/>
        </w:rPr>
        <w:t>日期：                              日期：</w:t>
      </w: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甲方授权指定账户预留印鉴章：</w:t>
      </w:r>
    </w:p>
    <w:p>
      <w:pPr>
        <w:autoSpaceDE w:val="0"/>
        <w:autoSpaceDN w:val="0"/>
        <w:adjustRightInd w:val="0"/>
        <w:snapToGrid w:val="0"/>
        <w:spacing w:line="300" w:lineRule="auto"/>
        <w:ind w:right="1155"/>
        <w:jc w:val="both"/>
        <w:rPr>
          <w:rFonts w:hint="eastAsia" w:ascii="宋体" w:hAnsi="宋体"/>
          <w:sz w:val="22"/>
          <w:szCs w:val="22"/>
          <w:lang w:val="zh-CN"/>
        </w:rPr>
      </w:pPr>
    </w:p>
    <w:p>
      <w:pPr>
        <w:rPr>
          <w:rFonts w:hint="eastAsia" w:ascii="仿宋_GB2312" w:hAnsi="宋体" w:eastAsia="仿宋_GB2312" w:cs="宋体"/>
          <w:b w:val="0"/>
          <w:bCs w:val="0"/>
          <w:color w:val="000000"/>
          <w:sz w:val="28"/>
          <w:szCs w:val="28"/>
          <w:highlight w:val="none"/>
          <w:lang w:val="en-US" w:eastAsia="zh-CN"/>
        </w:rPr>
      </w:pPr>
    </w:p>
    <w:sectPr>
      <w:headerReference r:id="rId4" w:type="first"/>
      <w:headerReference r:id="rId3" w:type="default"/>
      <w:footerReference r:id="rId5" w:type="default"/>
      <w:pgSz w:w="11906" w:h="16838"/>
      <w:pgMar w:top="1440" w:right="1800" w:bottom="1440" w:left="1800" w:header="851" w:footer="992" w:gutter="0"/>
      <w:pgNumType w:fmt="decimal"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宋体@.蜮.艀.">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20" w:firstLine="42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74C74"/>
    <w:multiLevelType w:val="singleLevel"/>
    <w:tmpl w:val="99674C74"/>
    <w:lvl w:ilvl="0" w:tentative="0">
      <w:start w:val="5"/>
      <w:numFmt w:val="chineseCounting"/>
      <w:suff w:val="nothing"/>
      <w:lvlText w:val="（%1）"/>
      <w:lvlJc w:val="left"/>
      <w:rPr>
        <w:rFonts w:hint="eastAsia"/>
      </w:rPr>
    </w:lvl>
  </w:abstractNum>
  <w:abstractNum w:abstractNumId="1">
    <w:nsid w:val="B59F729D"/>
    <w:multiLevelType w:val="singleLevel"/>
    <w:tmpl w:val="B59F729D"/>
    <w:lvl w:ilvl="0" w:tentative="0">
      <w:start w:val="1"/>
      <w:numFmt w:val="chineseCounting"/>
      <w:suff w:val="nothing"/>
      <w:lvlText w:val="（%1）"/>
      <w:lvlJc w:val="left"/>
      <w:rPr>
        <w:rFonts w:hint="eastAsia"/>
      </w:rPr>
    </w:lvl>
  </w:abstractNum>
  <w:abstractNum w:abstractNumId="2">
    <w:nsid w:val="D6BC8CED"/>
    <w:multiLevelType w:val="singleLevel"/>
    <w:tmpl w:val="D6BC8CED"/>
    <w:lvl w:ilvl="0" w:tentative="0">
      <w:start w:val="4"/>
      <w:numFmt w:val="chineseCounting"/>
      <w:suff w:val="nothing"/>
      <w:lvlText w:val="%1、"/>
      <w:lvlJc w:val="left"/>
      <w:rPr>
        <w:rFonts w:hint="eastAsia"/>
      </w:rPr>
    </w:lvl>
  </w:abstractNum>
  <w:abstractNum w:abstractNumId="3">
    <w:nsid w:val="E9B7CDD8"/>
    <w:multiLevelType w:val="singleLevel"/>
    <w:tmpl w:val="E9B7CDD8"/>
    <w:lvl w:ilvl="0" w:tentative="0">
      <w:start w:val="1"/>
      <w:numFmt w:val="decimal"/>
      <w:suff w:val="nothing"/>
      <w:lvlText w:val="%1、"/>
      <w:lvlJc w:val="left"/>
    </w:lvl>
  </w:abstractNum>
  <w:abstractNum w:abstractNumId="4">
    <w:nsid w:val="FF8AA15B"/>
    <w:multiLevelType w:val="singleLevel"/>
    <w:tmpl w:val="FF8AA15B"/>
    <w:lvl w:ilvl="0" w:tentative="0">
      <w:start w:val="1"/>
      <w:numFmt w:val="chineseCounting"/>
      <w:suff w:val="nothing"/>
      <w:lvlText w:val="%1、"/>
      <w:lvlJc w:val="left"/>
      <w:rPr>
        <w:rFonts w:hint="eastAsia"/>
        <w:b/>
        <w:bCs/>
      </w:rPr>
    </w:lvl>
  </w:abstractNum>
  <w:abstractNum w:abstractNumId="5">
    <w:nsid w:val="045329BA"/>
    <w:multiLevelType w:val="singleLevel"/>
    <w:tmpl w:val="045329BA"/>
    <w:lvl w:ilvl="0" w:tentative="0">
      <w:start w:val="1"/>
      <w:numFmt w:val="decimal"/>
      <w:suff w:val="nothing"/>
      <w:lvlText w:val="%1、"/>
      <w:lvlJc w:val="left"/>
    </w:lvl>
  </w:abstractNum>
  <w:abstractNum w:abstractNumId="6">
    <w:nsid w:val="05DF039F"/>
    <w:multiLevelType w:val="singleLevel"/>
    <w:tmpl w:val="05DF039F"/>
    <w:lvl w:ilvl="0" w:tentative="0">
      <w:start w:val="2"/>
      <w:numFmt w:val="decimal"/>
      <w:suff w:val="nothing"/>
      <w:lvlText w:val="（%1）"/>
      <w:lvlJc w:val="left"/>
    </w:lvl>
  </w:abstractNum>
  <w:abstractNum w:abstractNumId="7">
    <w:nsid w:val="56077D01"/>
    <w:multiLevelType w:val="singleLevel"/>
    <w:tmpl w:val="56077D01"/>
    <w:lvl w:ilvl="0" w:tentative="0">
      <w:start w:val="1"/>
      <w:numFmt w:val="chineseCounting"/>
      <w:suff w:val="nothing"/>
      <w:lvlText w:val="（%1）"/>
      <w:lvlJc w:val="left"/>
      <w:pPr>
        <w:ind w:left="0" w:firstLine="420"/>
      </w:pPr>
      <w:rPr>
        <w:rFonts w:hint="eastAsia"/>
      </w:rPr>
    </w:lvl>
  </w:abstractNum>
  <w:abstractNum w:abstractNumId="8">
    <w:nsid w:val="6BB777A8"/>
    <w:multiLevelType w:val="singleLevel"/>
    <w:tmpl w:val="6BB777A8"/>
    <w:lvl w:ilvl="0" w:tentative="0">
      <w:start w:val="1"/>
      <w:numFmt w:val="decimal"/>
      <w:suff w:val="nothing"/>
      <w:lvlText w:val="%1、"/>
      <w:lvlJc w:val="left"/>
    </w:lvl>
  </w:abstractNum>
  <w:num w:numId="1">
    <w:abstractNumId w:val="5"/>
  </w:num>
  <w:num w:numId="2">
    <w:abstractNumId w:val="8"/>
  </w:num>
  <w:num w:numId="3">
    <w:abstractNumId w:val="3"/>
  </w:num>
  <w:num w:numId="4">
    <w:abstractNumId w:val="0"/>
  </w:num>
  <w:num w:numId="5">
    <w:abstractNumId w:val="6"/>
  </w:num>
  <w:num w:numId="6">
    <w:abstractNumId w:val="2"/>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iZDIzMjBhYjY3YjcwYmIxYWI1NjM4YzVmYjEyMDMifQ=="/>
  </w:docVars>
  <w:rsids>
    <w:rsidRoot w:val="0A4B3097"/>
    <w:rsid w:val="03750A85"/>
    <w:rsid w:val="050D3EBD"/>
    <w:rsid w:val="0A4B3097"/>
    <w:rsid w:val="0CFF0321"/>
    <w:rsid w:val="0D1D3A34"/>
    <w:rsid w:val="118D4CD8"/>
    <w:rsid w:val="222F57AC"/>
    <w:rsid w:val="2656273F"/>
    <w:rsid w:val="26F17B69"/>
    <w:rsid w:val="2BA9184A"/>
    <w:rsid w:val="324029B8"/>
    <w:rsid w:val="3AC13009"/>
    <w:rsid w:val="3DDA07BE"/>
    <w:rsid w:val="3EF43849"/>
    <w:rsid w:val="3EFC33CB"/>
    <w:rsid w:val="3FEE6A94"/>
    <w:rsid w:val="428D2479"/>
    <w:rsid w:val="43BF738F"/>
    <w:rsid w:val="46084FE5"/>
    <w:rsid w:val="4E565A19"/>
    <w:rsid w:val="4F5B4352"/>
    <w:rsid w:val="50A800BD"/>
    <w:rsid w:val="588C1CC4"/>
    <w:rsid w:val="62E90D78"/>
    <w:rsid w:val="657F2F99"/>
    <w:rsid w:val="66944C63"/>
    <w:rsid w:val="6A54620F"/>
    <w:rsid w:val="6BB1319F"/>
    <w:rsid w:val="71923188"/>
    <w:rsid w:val="71B44C04"/>
    <w:rsid w:val="78892B44"/>
    <w:rsid w:val="78D60CB1"/>
    <w:rsid w:val="7A3E6345"/>
    <w:rsid w:val="7B605B44"/>
    <w:rsid w:val="7CF66C54"/>
    <w:rsid w:val="7DB2732C"/>
    <w:rsid w:val="7DE10F51"/>
    <w:rsid w:val="7DE25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4"/>
      <w:szCs w:val="24"/>
      <w:lang w:val="en-US" w:eastAsia="en-US" w:bidi="ar-SA"/>
    </w:rPr>
  </w:style>
  <w:style w:type="paragraph" w:styleId="5">
    <w:name w:val="Body Text Indent"/>
    <w:basedOn w:val="1"/>
    <w:qFormat/>
    <w:uiPriority w:val="0"/>
    <w:pPr>
      <w:adjustRightInd w:val="0"/>
      <w:snapToGrid w:val="0"/>
      <w:ind w:firstLine="360" w:firstLineChars="150"/>
      <w:jc w:val="left"/>
    </w:pPr>
    <w:rPr>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ind w:firstLine="632" w:firstLineChars="200"/>
    </w:pPr>
    <w:rPr>
      <w:rFonts w:ascii="仿宋_GB2312" w:hAnsi="Times New Roman" w:eastAsia="仿宋_GB2312"/>
      <w:sz w:val="32"/>
      <w:szCs w:val="24"/>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character" w:styleId="12">
    <w:name w:val="page number"/>
    <w:basedOn w:val="11"/>
    <w:qFormat/>
    <w:uiPriority w:val="0"/>
  </w:style>
  <w:style w:type="table" w:customStyle="1" w:styleId="13">
    <w:name w:val="网格型1"/>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4">
    <w:name w:val="Default"/>
    <w:qFormat/>
    <w:uiPriority w:val="0"/>
    <w:pPr>
      <w:widowControl w:val="0"/>
      <w:autoSpaceDE w:val="0"/>
      <w:autoSpaceDN w:val="0"/>
      <w:adjustRightInd w:val="0"/>
    </w:pPr>
    <w:rPr>
      <w:rFonts w:ascii="宋体@.蜮.艀." w:eastAsia="宋体@.蜮.艀." w:cs="宋体@.蜮.艀." w:hAnsiTheme="minorHAnsi"/>
      <w:color w:val="000000"/>
      <w:sz w:val="24"/>
      <w:szCs w:val="24"/>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50906</Words>
  <Characters>51923</Characters>
  <Lines>0</Lines>
  <Paragraphs>0</Paragraphs>
  <TotalTime>0</TotalTime>
  <ScaleCrop>false</ScaleCrop>
  <LinksUpToDate>false</LinksUpToDate>
  <CharactersWithSpaces>52474</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2024-10-25T03:13:00Z</dcterms:created>
  <dc:creator>Z.X</dc:creator>
  <cp:lastModifiedBy>周 翔</cp:lastModifiedBy>
  <dcterms:modified xsi:type="dcterms:W3CDTF">2026-08-07T05:28:53Z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376F6DDB7B3E4BC4BD23EE5C240A35B4_13</vt:lpwstr>
  </property>
</Properties>
</file>