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B66" w:rsidRDefault="00662B66" w:rsidP="00662B66">
      <w:pPr>
        <w:pStyle w:val="aa"/>
        <w:spacing w:before="0" w:beforeAutospacing="0" w:after="0" w:afterAutospacing="0" w:line="360" w:lineRule="auto"/>
        <w:jc w:val="center"/>
        <w:outlineLvl w:val="0"/>
        <w:rPr>
          <w:rFonts w:ascii="楷体" w:eastAsia="楷体" w:hAnsi="楷体"/>
          <w:b/>
          <w:sz w:val="28"/>
          <w:szCs w:val="28"/>
        </w:rPr>
      </w:pPr>
      <w:r>
        <w:rPr>
          <w:rFonts w:ascii="楷体" w:eastAsia="楷体" w:hAnsi="楷体" w:hint="eastAsia"/>
          <w:b/>
          <w:sz w:val="28"/>
          <w:szCs w:val="28"/>
        </w:rPr>
        <w:t>“苏银理财恒源天添鑫13号”理财产品说明书</w:t>
      </w:r>
    </w:p>
    <w:p w:rsidR="00662B66" w:rsidRDefault="00662B66" w:rsidP="00662B66">
      <w:pPr>
        <w:pStyle w:val="aa"/>
        <w:spacing w:before="0" w:beforeAutospacing="0" w:after="0" w:afterAutospacing="0"/>
        <w:jc w:val="center"/>
        <w:rPr>
          <w:rFonts w:ascii="楷体" w:eastAsia="楷体" w:hAnsi="楷体"/>
          <w:b/>
          <w:sz w:val="28"/>
          <w:szCs w:val="28"/>
        </w:rPr>
      </w:pPr>
      <w:r>
        <w:rPr>
          <w:rFonts w:ascii="楷体" w:eastAsia="楷体" w:hAnsi="楷体" w:cs="Times New Roman" w:hint="eastAsia"/>
          <w:kern w:val="2"/>
          <w:sz w:val="21"/>
          <w:szCs w:val="21"/>
        </w:rPr>
        <w:t>（</w:t>
      </w:r>
      <w:r>
        <w:rPr>
          <w:rFonts w:ascii="楷体" w:eastAsia="楷体" w:hAnsi="楷体" w:cs="Times New Roman" w:hint="eastAsia"/>
          <w:b/>
          <w:bCs/>
          <w:kern w:val="2"/>
          <w:sz w:val="21"/>
          <w:szCs w:val="21"/>
        </w:rPr>
        <w:t>2026年6月版</w:t>
      </w:r>
      <w:r>
        <w:rPr>
          <w:rFonts w:ascii="楷体" w:eastAsia="楷体" w:hAnsi="楷体" w:cs="Times New Roman" w:hint="eastAsia"/>
          <w:kern w:val="2"/>
          <w:sz w:val="21"/>
          <w:szCs w:val="21"/>
        </w:rPr>
        <w:t>）</w:t>
      </w:r>
    </w:p>
    <w:p w:rsidR="00662B66" w:rsidRDefault="00662B66" w:rsidP="00662B66">
      <w:pPr>
        <w:jc w:val="center"/>
        <w:outlineLvl w:val="1"/>
        <w:rPr>
          <w:rFonts w:ascii="楷体" w:eastAsia="楷体" w:hAnsi="楷体"/>
          <w:b/>
          <w:sz w:val="24"/>
          <w:szCs w:val="24"/>
        </w:rPr>
      </w:pPr>
      <w:r>
        <w:rPr>
          <w:rFonts w:ascii="楷体" w:eastAsia="楷体" w:hAnsi="楷体" w:cs="宋体" w:hint="eastAsia"/>
          <w:b/>
          <w:kern w:val="0"/>
          <w:sz w:val="24"/>
          <w:szCs w:val="24"/>
        </w:rPr>
        <w:t>理财非存款、产品有风险、投资须谨慎</w:t>
      </w:r>
    </w:p>
    <w:p w:rsidR="00662B66" w:rsidRDefault="00662B66" w:rsidP="00662B66">
      <w:pPr>
        <w:rPr>
          <w:rFonts w:ascii="楷体" w:eastAsia="楷体" w:hAnsi="楷体"/>
          <w:b/>
          <w:szCs w:val="21"/>
        </w:rPr>
      </w:pPr>
      <w:r>
        <w:rPr>
          <w:rFonts w:ascii="楷体" w:eastAsia="楷体" w:hAnsi="楷体" w:hint="eastAsia"/>
          <w:b/>
          <w:szCs w:val="21"/>
        </w:rPr>
        <w:t>重要须知</w:t>
      </w:r>
    </w:p>
    <w:p w:rsidR="00662B66" w:rsidRDefault="00662B66" w:rsidP="00662B66">
      <w:pPr>
        <w:numPr>
          <w:ilvl w:val="0"/>
          <w:numId w:val="5"/>
        </w:numPr>
        <w:ind w:left="420" w:hanging="420"/>
        <w:rPr>
          <w:rFonts w:ascii="楷体" w:eastAsia="楷体" w:hAnsi="楷体"/>
          <w:szCs w:val="21"/>
        </w:rPr>
      </w:pPr>
      <w:r>
        <w:rPr>
          <w:rFonts w:ascii="楷体" w:eastAsia="楷体" w:hAnsi="楷体" w:hint="eastAsia"/>
          <w:szCs w:val="21"/>
        </w:rPr>
        <w:t>在购买本理财产品前，投资者应确保自己完全理解该项投资的性质和所涉及的风险，详细了解和审慎评估该理财产品的投资范围、风险类型等基本情况，在慎重考虑后自行决定购买与自身风险承受能力和资产管理需求匹配的理财产品。</w:t>
      </w:r>
    </w:p>
    <w:p w:rsidR="00662B66" w:rsidRDefault="00662B66" w:rsidP="00662B66">
      <w:pPr>
        <w:numPr>
          <w:ilvl w:val="0"/>
          <w:numId w:val="5"/>
        </w:numPr>
        <w:ind w:left="420" w:hanging="420"/>
        <w:rPr>
          <w:rFonts w:ascii="楷体" w:eastAsia="楷体" w:hAnsi="楷体"/>
          <w:b/>
          <w:szCs w:val="21"/>
          <w:u w:val="single"/>
        </w:rPr>
      </w:pPr>
      <w:r>
        <w:rPr>
          <w:rFonts w:ascii="楷体" w:eastAsia="楷体" w:hAnsi="楷体" w:hint="eastAsia"/>
          <w:b/>
          <w:szCs w:val="21"/>
          <w:u w:val="single"/>
        </w:rPr>
        <w:t>本理财产品不保证本金及收益，您的本金可能因市场变动或者交易违约等事项而蒙受相应损失，投资者应充分认识投资风险，谨慎投资。</w:t>
      </w:r>
    </w:p>
    <w:p w:rsidR="00662B66" w:rsidRDefault="00662B66" w:rsidP="00662B66">
      <w:pPr>
        <w:numPr>
          <w:ilvl w:val="0"/>
          <w:numId w:val="5"/>
        </w:numPr>
        <w:ind w:left="420" w:hanging="420"/>
        <w:rPr>
          <w:rFonts w:ascii="楷体" w:eastAsia="楷体" w:hAnsi="楷体"/>
          <w:b/>
          <w:szCs w:val="21"/>
          <w:u w:val="single"/>
        </w:rPr>
      </w:pPr>
      <w:r>
        <w:rPr>
          <w:rFonts w:ascii="楷体" w:eastAsia="楷体" w:hAnsi="楷体" w:hint="eastAsia"/>
          <w:b/>
          <w:szCs w:val="21"/>
          <w:u w:val="single"/>
        </w:rPr>
        <w:t>本理财产品过往业绩不代表其未来表现，不等于理财产品实际收益，投资须谨慎；理财非存款、产品有风险、投资须谨慎。</w:t>
      </w:r>
    </w:p>
    <w:p w:rsidR="00662B66" w:rsidRDefault="00662B66" w:rsidP="00662B66">
      <w:pPr>
        <w:numPr>
          <w:ilvl w:val="0"/>
          <w:numId w:val="5"/>
        </w:numPr>
        <w:ind w:left="420" w:hanging="420"/>
        <w:rPr>
          <w:rFonts w:ascii="楷体" w:eastAsia="楷体" w:hAnsi="楷体"/>
          <w:b/>
          <w:szCs w:val="21"/>
          <w:u w:val="single"/>
        </w:rPr>
      </w:pPr>
      <w:r>
        <w:rPr>
          <w:rFonts w:ascii="楷体" w:eastAsia="楷体" w:hAnsi="楷体" w:hint="eastAsia"/>
          <w:b/>
          <w:szCs w:val="21"/>
          <w:u w:val="single"/>
        </w:rPr>
        <w:t>本理财产品任何业绩比较基准及类似表述均属不具有法律约束力的用语。业绩比较基准为管理人基于产品性质、投资策略、过往经验等因素对产品设定的投资目标。业绩比较基准不是预期收益率，不代表产品的未来表现和实际收益，不构成对产品收益的承诺。</w:t>
      </w:r>
    </w:p>
    <w:p w:rsidR="00662B66" w:rsidRDefault="00662B66" w:rsidP="00662B66">
      <w:pPr>
        <w:numPr>
          <w:ilvl w:val="0"/>
          <w:numId w:val="5"/>
        </w:numPr>
        <w:ind w:left="420" w:hanging="420"/>
        <w:rPr>
          <w:rFonts w:ascii="楷体" w:eastAsia="楷体" w:hAnsi="楷体"/>
          <w:szCs w:val="21"/>
        </w:rPr>
      </w:pPr>
      <w:r>
        <w:rPr>
          <w:rFonts w:ascii="楷体" w:eastAsia="楷体" w:hAnsi="楷体" w:hint="eastAsia"/>
          <w:szCs w:val="21"/>
        </w:rPr>
        <w:t>《风险揭示书》、《理财产品说明书》、《理财产品投资协议书》、《投资者权益须知》、《理财产品（代理）销售协议书》共同构成本理财产品完整的不可分割的理财产品合同。</w:t>
      </w:r>
    </w:p>
    <w:p w:rsidR="00662B66" w:rsidRDefault="00662B66" w:rsidP="00662B66">
      <w:pPr>
        <w:numPr>
          <w:ilvl w:val="0"/>
          <w:numId w:val="5"/>
        </w:numPr>
        <w:ind w:left="420" w:hanging="420"/>
        <w:rPr>
          <w:rFonts w:ascii="楷体" w:eastAsia="楷体" w:hAnsi="楷体"/>
          <w:szCs w:val="21"/>
        </w:rPr>
      </w:pPr>
      <w:r>
        <w:rPr>
          <w:rFonts w:ascii="楷体" w:eastAsia="楷体" w:hAnsi="楷体" w:hint="eastAsia"/>
          <w:szCs w:val="21"/>
        </w:rPr>
        <w:t>本理财产品涉及的主要风险包括政策风险、信用风险、市场风险、流动性风险、管理风险、操作风险、延期兑付风险、提前终止风险、信息传递风险、代销风险（如有）、不可抗力风险、关联关系及关联交易风险、特定投资标的风险等。请仔细阅读《“苏银理财恒源天添鑫13号”理财产品风险揭示书》的“风险揭示”部分。</w:t>
      </w:r>
    </w:p>
    <w:p w:rsidR="00662B66" w:rsidRDefault="00662B66" w:rsidP="00662B66">
      <w:pPr>
        <w:numPr>
          <w:ilvl w:val="0"/>
          <w:numId w:val="5"/>
        </w:numPr>
        <w:ind w:left="420" w:hanging="420"/>
        <w:rPr>
          <w:rFonts w:ascii="楷体" w:eastAsia="楷体" w:hAnsi="楷体"/>
          <w:b/>
          <w:bCs/>
          <w:szCs w:val="21"/>
          <w:u w:val="single"/>
        </w:rPr>
      </w:pPr>
      <w:r>
        <w:rPr>
          <w:rFonts w:ascii="楷体" w:eastAsia="楷体" w:hAnsi="楷体" w:hint="eastAsia"/>
          <w:b/>
          <w:bCs/>
          <w:szCs w:val="21"/>
          <w:u w:val="single"/>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rsidR="00662B66" w:rsidRDefault="00662B66" w:rsidP="00662B66">
      <w:pPr>
        <w:numPr>
          <w:ilvl w:val="0"/>
          <w:numId w:val="5"/>
        </w:numPr>
        <w:ind w:left="420" w:hanging="420"/>
        <w:rPr>
          <w:rFonts w:ascii="楷体" w:eastAsia="楷体" w:hAnsi="楷体"/>
          <w:szCs w:val="21"/>
        </w:rPr>
      </w:pPr>
      <w:r>
        <w:rPr>
          <w:rFonts w:ascii="楷体" w:eastAsia="楷体" w:hAnsi="楷体" w:hint="eastAsia"/>
          <w:b/>
          <w:szCs w:val="21"/>
          <w:u w:val="single"/>
        </w:rPr>
        <w:t>投资者不得使用贷款、发行债券等筹集的非自有资金投资本理财产品。</w:t>
      </w:r>
    </w:p>
    <w:p w:rsidR="00662B66" w:rsidRDefault="00662B66" w:rsidP="00662B66">
      <w:pPr>
        <w:numPr>
          <w:ilvl w:val="0"/>
          <w:numId w:val="5"/>
        </w:numPr>
        <w:ind w:left="420" w:hanging="420"/>
        <w:rPr>
          <w:rFonts w:ascii="楷体" w:eastAsia="楷体" w:hAnsi="楷体"/>
          <w:szCs w:val="21"/>
        </w:rPr>
      </w:pPr>
      <w:r>
        <w:rPr>
          <w:rFonts w:ascii="楷体" w:eastAsia="楷体" w:hAnsi="楷体" w:hint="eastAsia"/>
          <w:szCs w:val="21"/>
        </w:rPr>
        <w:t>在本产品存续期内，如因监管政策或法律法规发生变化，在不损害投资者利益的前提下，苏银理财有权单方对本产品条款进行修订，并按本理财产品说明书约定的信息披露方式予以披露。</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产品要素</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szCs w:val="21"/>
        </w:rPr>
        <w:t>为保护投资者合法权益，尊重投资者的知情权和自主选择权，现将本理财产品的基本要素说明如下：</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7947"/>
      </w:tblGrid>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产品名称</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苏银理财恒</w:t>
            </w:r>
            <w:proofErr w:type="gramStart"/>
            <w:r>
              <w:rPr>
                <w:rFonts w:ascii="楷体" w:eastAsia="楷体" w:hAnsi="楷体" w:cs="宋体" w:hint="eastAsia"/>
                <w:spacing w:val="-2"/>
                <w:sz w:val="18"/>
                <w:szCs w:val="18"/>
              </w:rPr>
              <w:t>源天添鑫</w:t>
            </w:r>
            <w:proofErr w:type="gramEnd"/>
            <w:r>
              <w:rPr>
                <w:rFonts w:ascii="楷体" w:eastAsia="楷体" w:hAnsi="楷体" w:cs="宋体" w:hint="eastAsia"/>
                <w:spacing w:val="-2"/>
                <w:sz w:val="18"/>
                <w:szCs w:val="18"/>
              </w:rPr>
              <w:t>13号</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4"/>
              <w:jc w:val="both"/>
              <w:rPr>
                <w:rFonts w:ascii="楷体" w:eastAsia="楷体" w:hAnsi="楷体" w:cs="宋体"/>
                <w:b/>
                <w:spacing w:val="-2"/>
                <w:sz w:val="18"/>
                <w:szCs w:val="18"/>
              </w:rPr>
            </w:pPr>
            <w:r>
              <w:rPr>
                <w:rFonts w:ascii="楷体" w:eastAsia="楷体" w:hAnsi="楷体" w:cs="宋体" w:hint="eastAsia"/>
                <w:b/>
                <w:spacing w:val="-2"/>
                <w:sz w:val="18"/>
                <w:szCs w:val="18"/>
              </w:rPr>
              <w:t>理财产品登记编码</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Z7003125000160，投资者可依据该编码在中国</w:t>
            </w:r>
            <w:proofErr w:type="gramStart"/>
            <w:r>
              <w:rPr>
                <w:rFonts w:ascii="楷体" w:eastAsia="楷体" w:hAnsi="楷体" w:cs="宋体"/>
                <w:spacing w:val="-2"/>
                <w:sz w:val="18"/>
                <w:szCs w:val="18"/>
              </w:rPr>
              <w:t>理财网</w:t>
            </w:r>
            <w:proofErr w:type="gramEnd"/>
            <w:r>
              <w:rPr>
                <w:rFonts w:ascii="楷体" w:eastAsia="楷体" w:hAnsi="楷体" w:cs="宋体"/>
                <w:spacing w:val="-2"/>
                <w:sz w:val="18"/>
                <w:szCs w:val="18"/>
              </w:rPr>
              <w:t>www.chinawealth.com.cn查询产品信息。</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销售名称/销售代码</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A份额：苏银理财恒</w:t>
            </w:r>
            <w:proofErr w:type="gramStart"/>
            <w:r>
              <w:rPr>
                <w:rFonts w:ascii="楷体" w:eastAsia="楷体" w:hAnsi="楷体" w:cs="宋体"/>
                <w:spacing w:val="-2"/>
                <w:sz w:val="18"/>
                <w:szCs w:val="18"/>
              </w:rPr>
              <w:t>源</w:t>
            </w:r>
            <w:r>
              <w:rPr>
                <w:rFonts w:ascii="楷体" w:eastAsia="楷体" w:hAnsi="楷体" w:cs="宋体" w:hint="eastAsia"/>
                <w:spacing w:val="-2"/>
                <w:sz w:val="18"/>
                <w:szCs w:val="18"/>
              </w:rPr>
              <w:t>天添鑫</w:t>
            </w:r>
            <w:proofErr w:type="gramEnd"/>
            <w:r>
              <w:rPr>
                <w:rFonts w:ascii="楷体" w:eastAsia="楷体" w:hAnsi="楷体" w:cs="宋体" w:hint="eastAsia"/>
                <w:spacing w:val="-2"/>
                <w:sz w:val="18"/>
                <w:szCs w:val="18"/>
              </w:rPr>
              <w:t>13号</w:t>
            </w:r>
            <w:r>
              <w:rPr>
                <w:rFonts w:ascii="楷体" w:eastAsia="楷体" w:hAnsi="楷体" w:cs="宋体"/>
                <w:spacing w:val="-2"/>
                <w:sz w:val="18"/>
                <w:szCs w:val="18"/>
              </w:rPr>
              <w:t>A/J05156</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C份额：苏银理财恒</w:t>
            </w:r>
            <w:proofErr w:type="gramStart"/>
            <w:r>
              <w:rPr>
                <w:rFonts w:ascii="楷体" w:eastAsia="楷体" w:hAnsi="楷体" w:cs="宋体"/>
                <w:spacing w:val="-2"/>
                <w:sz w:val="18"/>
                <w:szCs w:val="18"/>
              </w:rPr>
              <w:t>源天添鑫</w:t>
            </w:r>
            <w:proofErr w:type="gramEnd"/>
            <w:r>
              <w:rPr>
                <w:rFonts w:ascii="楷体" w:eastAsia="楷体" w:hAnsi="楷体" w:cs="宋体"/>
                <w:spacing w:val="-2"/>
                <w:sz w:val="18"/>
                <w:szCs w:val="18"/>
              </w:rPr>
              <w:t>13号C/J21628</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D份额：苏银理财恒</w:t>
            </w:r>
            <w:proofErr w:type="gramStart"/>
            <w:r>
              <w:rPr>
                <w:rFonts w:ascii="楷体" w:eastAsia="楷体" w:hAnsi="楷体" w:cs="宋体"/>
                <w:spacing w:val="-2"/>
                <w:sz w:val="18"/>
                <w:szCs w:val="18"/>
              </w:rPr>
              <w:t>源天添鑫</w:t>
            </w:r>
            <w:proofErr w:type="gramEnd"/>
            <w:r>
              <w:rPr>
                <w:rFonts w:ascii="楷体" w:eastAsia="楷体" w:hAnsi="楷体" w:cs="宋体"/>
                <w:spacing w:val="-2"/>
                <w:sz w:val="18"/>
                <w:szCs w:val="18"/>
              </w:rPr>
              <w:t>13号D/J21629</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E份额：苏银理财恒</w:t>
            </w:r>
            <w:proofErr w:type="gramStart"/>
            <w:r>
              <w:rPr>
                <w:rFonts w:ascii="楷体" w:eastAsia="楷体" w:hAnsi="楷体" w:cs="宋体"/>
                <w:spacing w:val="-2"/>
                <w:sz w:val="18"/>
                <w:szCs w:val="18"/>
              </w:rPr>
              <w:t>源天添鑫</w:t>
            </w:r>
            <w:proofErr w:type="gramEnd"/>
            <w:r>
              <w:rPr>
                <w:rFonts w:ascii="楷体" w:eastAsia="楷体" w:hAnsi="楷体" w:cs="宋体"/>
                <w:spacing w:val="-2"/>
                <w:sz w:val="18"/>
                <w:szCs w:val="18"/>
              </w:rPr>
              <w:t>13号E/J21630</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spacing w:val="-2"/>
                <w:sz w:val="18"/>
                <w:szCs w:val="18"/>
              </w:rPr>
              <w:t>芙蓉锦程·优选份额：苏银理财恒</w:t>
            </w:r>
            <w:proofErr w:type="gramStart"/>
            <w:r>
              <w:rPr>
                <w:rFonts w:ascii="楷体" w:eastAsia="楷体" w:hAnsi="楷体" w:cs="宋体"/>
                <w:spacing w:val="-2"/>
                <w:sz w:val="18"/>
                <w:szCs w:val="18"/>
              </w:rPr>
              <w:t>源天添鑫</w:t>
            </w:r>
            <w:proofErr w:type="gramEnd"/>
            <w:r>
              <w:rPr>
                <w:rFonts w:ascii="楷体" w:eastAsia="楷体" w:hAnsi="楷体" w:cs="宋体"/>
                <w:spacing w:val="-2"/>
                <w:sz w:val="18"/>
                <w:szCs w:val="18"/>
              </w:rPr>
              <w:t>13号（芙蓉锦程·优选）/J21631</w:t>
            </w:r>
          </w:p>
        </w:tc>
      </w:tr>
      <w:tr w:rsidR="00662B66" w:rsidTr="00404497">
        <w:trPr>
          <w:jc w:val="center"/>
        </w:trPr>
        <w:tc>
          <w:tcPr>
            <w:tcW w:w="1696"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t>产品类型</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b/>
                <w:spacing w:val="-2"/>
                <w:sz w:val="18"/>
                <w:szCs w:val="18"/>
                <w:u w:val="single"/>
              </w:rPr>
            </w:pPr>
            <w:r>
              <w:rPr>
                <w:rFonts w:ascii="楷体" w:eastAsia="楷体" w:hAnsi="楷体" w:cs="宋体" w:hint="eastAsia"/>
                <w:b/>
                <w:spacing w:val="-2"/>
                <w:sz w:val="18"/>
                <w:szCs w:val="18"/>
                <w:u w:val="single"/>
              </w:rPr>
              <w:t>固定收益类、公募、开放式</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4"/>
              <w:jc w:val="both"/>
              <w:rPr>
                <w:rFonts w:ascii="楷体" w:eastAsia="楷体" w:hAnsi="楷体" w:cs="宋体"/>
                <w:b/>
                <w:spacing w:val="-2"/>
                <w:sz w:val="18"/>
                <w:szCs w:val="18"/>
              </w:rPr>
            </w:pPr>
            <w:r>
              <w:rPr>
                <w:rFonts w:ascii="楷体" w:eastAsia="楷体" w:hAnsi="楷体" w:cs="宋体" w:hint="eastAsia"/>
                <w:b/>
                <w:spacing w:val="-2"/>
                <w:sz w:val="18"/>
                <w:szCs w:val="18"/>
              </w:rPr>
              <w:t>产品内部风险评级</w:t>
            </w:r>
          </w:p>
        </w:tc>
        <w:tc>
          <w:tcPr>
            <w:tcW w:w="7942" w:type="dxa"/>
            <w:vAlign w:val="center"/>
          </w:tcPr>
          <w:p w:rsidR="00662B66" w:rsidRDefault="00662B66" w:rsidP="00404497">
            <w:pPr>
              <w:snapToGrid w:val="0"/>
              <w:ind w:leftChars="10" w:left="21" w:rightChars="10" w:right="21"/>
              <w:rPr>
                <w:rFonts w:ascii="楷体" w:eastAsia="楷体" w:hAnsi="楷体"/>
                <w:sz w:val="18"/>
                <w:szCs w:val="18"/>
              </w:rPr>
            </w:pPr>
            <w:r>
              <w:rPr>
                <w:rFonts w:ascii="楷体" w:eastAsia="楷体" w:hAnsi="楷体" w:hint="eastAsia"/>
                <w:sz w:val="18"/>
                <w:szCs w:val="18"/>
              </w:rPr>
              <w:t>1.本理财产品经苏银理财内部风险评级为</w:t>
            </w:r>
            <w:r>
              <w:rPr>
                <w:rFonts w:ascii="楷体" w:eastAsia="楷体" w:hAnsi="楷体" w:hint="eastAsia"/>
                <w:b/>
                <w:sz w:val="18"/>
                <w:szCs w:val="18"/>
                <w:u w:val="single"/>
              </w:rPr>
              <w:t>★★二级，适合中低风险型投资者，适合投资策略为稳健发展的投资者</w:t>
            </w:r>
            <w:r>
              <w:rPr>
                <w:rFonts w:ascii="楷体" w:eastAsia="楷体" w:hAnsi="楷体" w:hint="eastAsia"/>
                <w:sz w:val="18"/>
                <w:szCs w:val="18"/>
              </w:rPr>
              <w:t>。本评级为管理人内部评级，由管理人根据理财产品的投资组合、同类产品过往业绩和风险状况等因素，对理财产品进行评级，仅供投资者参考。理财产品存续期间，若市场环境等因素发生变化，在符合监管政策要求的前提下管理人可对产品风险评级进行调整，并及时将调整情况向投资者披露。</w:t>
            </w:r>
          </w:p>
          <w:tbl>
            <w:tblPr>
              <w:tblW w:w="4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490"/>
              <w:gridCol w:w="2033"/>
              <w:gridCol w:w="1672"/>
            </w:tblGrid>
            <w:tr w:rsidR="00662B66" w:rsidTr="00404497">
              <w:trPr>
                <w:trHeight w:val="23"/>
                <w:jc w:val="center"/>
              </w:trPr>
              <w:tc>
                <w:tcPr>
                  <w:tcW w:w="1181"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风险星级</w:t>
                  </w:r>
                </w:p>
              </w:tc>
              <w:tc>
                <w:tcPr>
                  <w:tcW w:w="1095"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风险级别</w:t>
                  </w:r>
                </w:p>
              </w:tc>
              <w:tc>
                <w:tcPr>
                  <w:tcW w:w="1493"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适合的投资者类别</w:t>
                  </w:r>
                </w:p>
              </w:tc>
              <w:tc>
                <w:tcPr>
                  <w:tcW w:w="1229"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适合投资策略</w:t>
                  </w:r>
                </w:p>
              </w:tc>
            </w:tr>
            <w:tr w:rsidR="00662B66" w:rsidTr="00404497">
              <w:trPr>
                <w:trHeight w:val="23"/>
                <w:jc w:val="center"/>
              </w:trPr>
              <w:tc>
                <w:tcPr>
                  <w:tcW w:w="1181" w:type="pct"/>
                  <w:tcBorders>
                    <w:bottom w:val="single" w:sz="4" w:space="0" w:color="auto"/>
                  </w:tcBorders>
                  <w:vAlign w:val="bottom"/>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w:t>
                  </w:r>
                </w:p>
              </w:tc>
              <w:tc>
                <w:tcPr>
                  <w:tcW w:w="1095" w:type="pct"/>
                  <w:tcBorders>
                    <w:bottom w:val="single" w:sz="4" w:space="0" w:color="auto"/>
                  </w:tcBorders>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一级（PR1）</w:t>
                  </w:r>
                </w:p>
              </w:tc>
              <w:tc>
                <w:tcPr>
                  <w:tcW w:w="1493" w:type="pct"/>
                  <w:tcBorders>
                    <w:bottom w:val="single" w:sz="4" w:space="0" w:color="auto"/>
                  </w:tcBorders>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低风险型</w:t>
                  </w:r>
                </w:p>
              </w:tc>
              <w:tc>
                <w:tcPr>
                  <w:tcW w:w="1229" w:type="pct"/>
                  <w:tcBorders>
                    <w:bottom w:val="single" w:sz="4" w:space="0" w:color="auto"/>
                  </w:tcBorders>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风险控制</w:t>
                  </w:r>
                </w:p>
              </w:tc>
            </w:tr>
            <w:tr w:rsidR="00662B66" w:rsidTr="00404497">
              <w:trPr>
                <w:trHeight w:val="23"/>
                <w:jc w:val="center"/>
              </w:trPr>
              <w:tc>
                <w:tcPr>
                  <w:tcW w:w="1181" w:type="pct"/>
                  <w:vAlign w:val="bottom"/>
                </w:tcPr>
                <w:p w:rsidR="00662B66" w:rsidRDefault="00662B66" w:rsidP="00404497">
                  <w:pPr>
                    <w:snapToGrid w:val="0"/>
                    <w:spacing w:line="0" w:lineRule="atLeast"/>
                    <w:jc w:val="center"/>
                    <w:rPr>
                      <w:rFonts w:ascii="楷体" w:eastAsia="楷体" w:hAnsi="楷体" w:cs="浠垮畫"/>
                      <w:b/>
                      <w:kern w:val="0"/>
                      <w:sz w:val="18"/>
                      <w:szCs w:val="18"/>
                    </w:rPr>
                  </w:pPr>
                  <w:r>
                    <w:rPr>
                      <w:rFonts w:ascii="楷体" w:eastAsia="楷体" w:hAnsi="楷体" w:cs="浠垮畫" w:hint="eastAsia"/>
                      <w:b/>
                      <w:kern w:val="0"/>
                      <w:sz w:val="18"/>
                      <w:szCs w:val="18"/>
                    </w:rPr>
                    <w:t>★★</w:t>
                  </w:r>
                </w:p>
              </w:tc>
              <w:tc>
                <w:tcPr>
                  <w:tcW w:w="1095" w:type="pct"/>
                  <w:vAlign w:val="center"/>
                </w:tcPr>
                <w:p w:rsidR="00662B66" w:rsidRDefault="00662B66" w:rsidP="00404497">
                  <w:pPr>
                    <w:snapToGrid w:val="0"/>
                    <w:spacing w:line="0" w:lineRule="atLeast"/>
                    <w:jc w:val="center"/>
                    <w:rPr>
                      <w:rFonts w:ascii="楷体" w:eastAsia="楷体" w:hAnsi="楷体" w:cs="浠垮畫"/>
                      <w:b/>
                      <w:kern w:val="0"/>
                      <w:sz w:val="18"/>
                      <w:szCs w:val="18"/>
                    </w:rPr>
                  </w:pPr>
                  <w:r>
                    <w:rPr>
                      <w:rFonts w:ascii="楷体" w:eastAsia="楷体" w:hAnsi="楷体" w:cs="浠垮畫" w:hint="eastAsia"/>
                      <w:b/>
                      <w:kern w:val="0"/>
                      <w:sz w:val="18"/>
                      <w:szCs w:val="18"/>
                    </w:rPr>
                    <w:t>二级（PR2）</w:t>
                  </w:r>
                </w:p>
              </w:tc>
              <w:tc>
                <w:tcPr>
                  <w:tcW w:w="1493" w:type="pct"/>
                  <w:vAlign w:val="center"/>
                </w:tcPr>
                <w:p w:rsidR="00662B66" w:rsidRDefault="00662B66" w:rsidP="00404497">
                  <w:pPr>
                    <w:snapToGrid w:val="0"/>
                    <w:spacing w:line="0" w:lineRule="atLeast"/>
                    <w:jc w:val="center"/>
                    <w:rPr>
                      <w:rFonts w:ascii="楷体" w:eastAsia="楷体" w:hAnsi="楷体" w:cs="浠垮畫"/>
                      <w:b/>
                      <w:kern w:val="0"/>
                      <w:sz w:val="18"/>
                      <w:szCs w:val="18"/>
                    </w:rPr>
                  </w:pPr>
                  <w:r>
                    <w:rPr>
                      <w:rFonts w:ascii="楷体" w:eastAsia="楷体" w:hAnsi="楷体" w:cs="浠垮畫" w:hint="eastAsia"/>
                      <w:b/>
                      <w:kern w:val="0"/>
                      <w:sz w:val="18"/>
                      <w:szCs w:val="18"/>
                    </w:rPr>
                    <w:t>中低风险型</w:t>
                  </w:r>
                </w:p>
              </w:tc>
              <w:tc>
                <w:tcPr>
                  <w:tcW w:w="1229" w:type="pct"/>
                  <w:vAlign w:val="center"/>
                </w:tcPr>
                <w:p w:rsidR="00662B66" w:rsidRDefault="00662B66" w:rsidP="00404497">
                  <w:pPr>
                    <w:snapToGrid w:val="0"/>
                    <w:spacing w:line="0" w:lineRule="atLeast"/>
                    <w:jc w:val="center"/>
                    <w:rPr>
                      <w:rFonts w:ascii="楷体" w:eastAsia="楷体" w:hAnsi="楷体" w:cs="浠垮畫"/>
                      <w:b/>
                      <w:kern w:val="0"/>
                      <w:sz w:val="18"/>
                      <w:szCs w:val="18"/>
                    </w:rPr>
                  </w:pPr>
                  <w:r>
                    <w:rPr>
                      <w:rFonts w:ascii="楷体" w:eastAsia="楷体" w:hAnsi="楷体" w:cs="浠垮畫" w:hint="eastAsia"/>
                      <w:b/>
                      <w:kern w:val="0"/>
                      <w:sz w:val="18"/>
                      <w:szCs w:val="18"/>
                    </w:rPr>
                    <w:t>稳健发展</w:t>
                  </w:r>
                </w:p>
              </w:tc>
            </w:tr>
            <w:tr w:rsidR="00662B66" w:rsidTr="00404497">
              <w:trPr>
                <w:trHeight w:val="23"/>
                <w:jc w:val="center"/>
              </w:trPr>
              <w:tc>
                <w:tcPr>
                  <w:tcW w:w="1181" w:type="pct"/>
                  <w:vAlign w:val="bottom"/>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w:t>
                  </w:r>
                </w:p>
              </w:tc>
              <w:tc>
                <w:tcPr>
                  <w:tcW w:w="1095"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三级（PR3）</w:t>
                  </w:r>
                </w:p>
              </w:tc>
              <w:tc>
                <w:tcPr>
                  <w:tcW w:w="1493"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中风险型</w:t>
                  </w:r>
                </w:p>
              </w:tc>
              <w:tc>
                <w:tcPr>
                  <w:tcW w:w="1229"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均衡发展</w:t>
                  </w:r>
                </w:p>
              </w:tc>
            </w:tr>
            <w:tr w:rsidR="00662B66" w:rsidTr="00404497">
              <w:trPr>
                <w:trHeight w:val="23"/>
                <w:jc w:val="center"/>
              </w:trPr>
              <w:tc>
                <w:tcPr>
                  <w:tcW w:w="1181" w:type="pct"/>
                  <w:vAlign w:val="bottom"/>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w:t>
                  </w:r>
                </w:p>
              </w:tc>
              <w:tc>
                <w:tcPr>
                  <w:tcW w:w="1095"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四级（PR4）</w:t>
                  </w:r>
                </w:p>
              </w:tc>
              <w:tc>
                <w:tcPr>
                  <w:tcW w:w="1493"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中高风险型</w:t>
                  </w:r>
                </w:p>
              </w:tc>
              <w:tc>
                <w:tcPr>
                  <w:tcW w:w="1229"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积极成长</w:t>
                  </w:r>
                </w:p>
              </w:tc>
            </w:tr>
            <w:tr w:rsidR="00662B66" w:rsidTr="00404497">
              <w:trPr>
                <w:trHeight w:val="23"/>
                <w:jc w:val="center"/>
              </w:trPr>
              <w:tc>
                <w:tcPr>
                  <w:tcW w:w="1181" w:type="pct"/>
                  <w:vAlign w:val="bottom"/>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w:t>
                  </w:r>
                </w:p>
              </w:tc>
              <w:tc>
                <w:tcPr>
                  <w:tcW w:w="1095"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五级（PR5）</w:t>
                  </w:r>
                </w:p>
              </w:tc>
              <w:tc>
                <w:tcPr>
                  <w:tcW w:w="1493"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高风险型</w:t>
                  </w:r>
                </w:p>
              </w:tc>
              <w:tc>
                <w:tcPr>
                  <w:tcW w:w="1229" w:type="pct"/>
                  <w:vAlign w:val="center"/>
                </w:tcPr>
                <w:p w:rsidR="00662B66" w:rsidRDefault="00662B66" w:rsidP="00404497">
                  <w:pPr>
                    <w:snapToGrid w:val="0"/>
                    <w:spacing w:line="0" w:lineRule="atLeast"/>
                    <w:jc w:val="center"/>
                    <w:rPr>
                      <w:rFonts w:ascii="楷体" w:eastAsia="楷体" w:hAnsi="楷体" w:cs="浠垮畫"/>
                      <w:kern w:val="0"/>
                      <w:sz w:val="18"/>
                      <w:szCs w:val="18"/>
                    </w:rPr>
                  </w:pPr>
                  <w:r>
                    <w:rPr>
                      <w:rFonts w:ascii="楷体" w:eastAsia="楷体" w:hAnsi="楷体" w:cs="浠垮畫" w:hint="eastAsia"/>
                      <w:kern w:val="0"/>
                      <w:sz w:val="18"/>
                      <w:szCs w:val="18"/>
                    </w:rPr>
                    <w:t>风险承受</w:t>
                  </w:r>
                </w:p>
              </w:tc>
            </w:tr>
          </w:tbl>
          <w:p w:rsidR="00662B66" w:rsidRDefault="00662B66" w:rsidP="00404497">
            <w:pPr>
              <w:snapToGrid w:val="0"/>
              <w:ind w:leftChars="10" w:left="21" w:rightChars="10" w:right="21"/>
              <w:rPr>
                <w:rFonts w:ascii="楷体" w:eastAsia="楷体" w:hAnsi="楷体"/>
                <w:b/>
                <w:sz w:val="18"/>
                <w:szCs w:val="18"/>
                <w:u w:val="single"/>
              </w:rPr>
            </w:pPr>
            <w:r>
              <w:rPr>
                <w:rFonts w:ascii="楷体" w:eastAsia="楷体" w:hAnsi="楷体" w:hint="eastAsia"/>
                <w:sz w:val="18"/>
                <w:szCs w:val="18"/>
              </w:rPr>
              <w:t>2.如本产品通过代理销售机构渠道销售，代理销售机构应当根据本机构的方式和方法，依据理财产品</w:t>
            </w:r>
            <w:r>
              <w:rPr>
                <w:rFonts w:ascii="楷体" w:eastAsia="楷体" w:hAnsi="楷体" w:hint="eastAsia"/>
                <w:sz w:val="18"/>
                <w:szCs w:val="18"/>
              </w:rPr>
              <w:lastRenderedPageBreak/>
              <w:t>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ascii="楷体" w:eastAsia="楷体" w:hAnsi="楷体" w:hint="eastAsia"/>
                <w:b/>
                <w:bCs/>
                <w:sz w:val="18"/>
                <w:szCs w:val="18"/>
                <w:u w:val="single"/>
              </w:rPr>
              <w:t>如本产品通过代理销售机构渠道销售，理财产品评级以代理销售机构最终披露的评级结果为准。</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hint="eastAsia"/>
                <w:sz w:val="18"/>
                <w:szCs w:val="18"/>
              </w:rPr>
              <w:t>3.销售机构负责完成投资者风险承受能力评估，并在遵循投资者适当性原则的前提下进行本理财产品的销售活动。</w:t>
            </w:r>
          </w:p>
        </w:tc>
      </w:tr>
      <w:tr w:rsidR="00662B66" w:rsidTr="00404497">
        <w:trPr>
          <w:jc w:val="center"/>
        </w:trPr>
        <w:tc>
          <w:tcPr>
            <w:tcW w:w="1696"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lastRenderedPageBreak/>
              <w:t>销售对象</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个人和机构</w:t>
            </w:r>
          </w:p>
        </w:tc>
      </w:tr>
      <w:tr w:rsidR="00662B66" w:rsidTr="00404497">
        <w:trPr>
          <w:jc w:val="center"/>
        </w:trPr>
        <w:tc>
          <w:tcPr>
            <w:tcW w:w="1696"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t>币种</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人民币</w:t>
            </w:r>
          </w:p>
        </w:tc>
      </w:tr>
      <w:tr w:rsidR="00662B66" w:rsidTr="00404497">
        <w:trPr>
          <w:jc w:val="center"/>
        </w:trPr>
        <w:tc>
          <w:tcPr>
            <w:tcW w:w="1696"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t>份额面值</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1元/份</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计划发行规模</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本产品计划发行规模为10000万元，管理人有权根据实际需要调整计划发行规模。</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最低发行规模</w:t>
            </w:r>
          </w:p>
        </w:tc>
        <w:tc>
          <w:tcPr>
            <w:tcW w:w="7942" w:type="dxa"/>
            <w:vAlign w:val="center"/>
          </w:tcPr>
          <w:p w:rsidR="00662B66" w:rsidRDefault="00662B66" w:rsidP="00404497">
            <w:pPr>
              <w:snapToGrid w:val="0"/>
              <w:ind w:leftChars="10" w:left="21" w:rightChars="10" w:right="21"/>
              <w:rPr>
                <w:rFonts w:ascii="楷体" w:eastAsia="楷体" w:hAnsi="楷体" w:cs="宋体"/>
                <w:spacing w:val="-2"/>
                <w:sz w:val="18"/>
                <w:szCs w:val="18"/>
              </w:rPr>
            </w:pPr>
            <w:r>
              <w:rPr>
                <w:rFonts w:ascii="楷体" w:eastAsia="楷体" w:hAnsi="楷体" w:cs="宋体" w:hint="eastAsia"/>
                <w:spacing w:val="-2"/>
                <w:sz w:val="18"/>
                <w:szCs w:val="18"/>
              </w:rPr>
              <w:t>本产品最低发行规模为3000万元，管理人有权根据实际需要调整最低发行规模。若产品认购规模未达到最低发行规模，或新的法律、法规或监管政策导致本产品无法合法合</w:t>
            </w:r>
            <w:proofErr w:type="gramStart"/>
            <w:r>
              <w:rPr>
                <w:rFonts w:ascii="楷体" w:eastAsia="楷体" w:hAnsi="楷体" w:cs="宋体" w:hint="eastAsia"/>
                <w:spacing w:val="-2"/>
                <w:sz w:val="18"/>
                <w:szCs w:val="18"/>
              </w:rPr>
              <w:t>规</w:t>
            </w:r>
            <w:proofErr w:type="gramEnd"/>
            <w:r>
              <w:rPr>
                <w:rFonts w:ascii="楷体" w:eastAsia="楷体" w:hAnsi="楷体" w:cs="宋体" w:hint="eastAsia"/>
                <w:spacing w:val="-2"/>
                <w:sz w:val="18"/>
                <w:szCs w:val="18"/>
              </w:rPr>
              <w:t>运行，或出现其他导致影响产品成立不可抗力因素，产品管理人有权利但无义务宣布产品不成立，并于产品募集期结束后5个工作日内将投资者认购资金返还至投资者资金账户。</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购买起点</w:t>
            </w:r>
            <w:r>
              <w:rPr>
                <w:rFonts w:ascii="楷体" w:eastAsia="楷体" w:hAnsi="楷体" w:cs="宋体"/>
                <w:b/>
                <w:spacing w:val="-2"/>
                <w:sz w:val="18"/>
                <w:szCs w:val="18"/>
              </w:rPr>
              <w:t>/</w:t>
            </w:r>
            <w:r>
              <w:rPr>
                <w:rFonts w:ascii="楷体" w:eastAsia="楷体" w:hAnsi="楷体" w:cs="宋体" w:hint="eastAsia"/>
                <w:b/>
                <w:spacing w:val="-2"/>
                <w:sz w:val="18"/>
                <w:szCs w:val="18"/>
              </w:rPr>
              <w:t>追加金额</w:t>
            </w:r>
          </w:p>
        </w:tc>
        <w:tc>
          <w:tcPr>
            <w:tcW w:w="7942" w:type="dxa"/>
            <w:vAlign w:val="center"/>
          </w:tcPr>
          <w:p w:rsidR="00662B66" w:rsidRDefault="00662B66" w:rsidP="00404497">
            <w:pPr>
              <w:snapToGrid w:val="0"/>
              <w:ind w:leftChars="10" w:left="21" w:rightChars="10" w:right="21"/>
              <w:rPr>
                <w:rFonts w:ascii="楷体" w:eastAsia="楷体" w:hAnsi="楷体"/>
                <w:sz w:val="18"/>
                <w:szCs w:val="18"/>
              </w:rPr>
            </w:pPr>
            <w:r>
              <w:rPr>
                <w:rFonts w:ascii="楷体" w:eastAsia="楷体" w:hAnsi="楷体" w:hint="eastAsia"/>
                <w:sz w:val="18"/>
                <w:szCs w:val="18"/>
              </w:rPr>
              <w:t>0.01元/0.01元的整数</w:t>
            </w:r>
            <w:proofErr w:type="gramStart"/>
            <w:r>
              <w:rPr>
                <w:rFonts w:ascii="楷体" w:eastAsia="楷体" w:hAnsi="楷体" w:hint="eastAsia"/>
                <w:sz w:val="18"/>
                <w:szCs w:val="18"/>
              </w:rPr>
              <w:t>倍</w:t>
            </w:r>
            <w:proofErr w:type="gramEnd"/>
            <w:r>
              <w:rPr>
                <w:rFonts w:ascii="楷体" w:eastAsia="楷体" w:hAnsi="楷体" w:hint="eastAsia"/>
                <w:sz w:val="18"/>
                <w:szCs w:val="18"/>
              </w:rPr>
              <w:t>。</w:t>
            </w:r>
          </w:p>
          <w:p w:rsidR="00662B66" w:rsidRDefault="00662B66" w:rsidP="00404497">
            <w:pPr>
              <w:snapToGrid w:val="0"/>
              <w:ind w:leftChars="10" w:left="21" w:rightChars="10" w:right="21"/>
              <w:rPr>
                <w:rFonts w:ascii="楷体" w:eastAsia="楷体" w:hAnsi="楷体"/>
                <w:sz w:val="18"/>
                <w:szCs w:val="18"/>
              </w:rPr>
            </w:pPr>
            <w:r>
              <w:rPr>
                <w:rFonts w:ascii="楷体" w:eastAsia="楷体" w:hAnsi="楷体" w:hint="eastAsia"/>
                <w:sz w:val="18"/>
                <w:szCs w:val="18"/>
              </w:rPr>
              <w:t>苏银理财有权对上述起点金额和追加金额进行调整，并在调整前进行公告。（具体以销售机构设置为准）</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募集期</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2025年7月10日至2025年7月15日。</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产品成立日</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2025年7月16日。如管理人调整募集期，则产品成立日将相应调整，以管理人公告为准。</w:t>
            </w:r>
          </w:p>
        </w:tc>
      </w:tr>
      <w:tr w:rsidR="00662B66" w:rsidTr="00404497">
        <w:trPr>
          <w:jc w:val="center"/>
        </w:trPr>
        <w:tc>
          <w:tcPr>
            <w:tcW w:w="1691"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t>产品终止日/到期日</w:t>
            </w:r>
          </w:p>
        </w:tc>
        <w:tc>
          <w:tcPr>
            <w:tcW w:w="7947" w:type="dxa"/>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2035年12月27日。如遇节假日，顺延至下一工作日。在符合产品说明书约定的条件下，管理人有权调整产品到期日，产品到期日受制于提前终止、延期终止条款。</w:t>
            </w:r>
            <w:proofErr w:type="gramStart"/>
            <w:r>
              <w:rPr>
                <w:rFonts w:ascii="楷体" w:eastAsia="楷体" w:hAnsi="楷体" w:cs="宋体" w:hint="eastAsia"/>
                <w:spacing w:val="-2"/>
                <w:sz w:val="18"/>
                <w:szCs w:val="18"/>
              </w:rPr>
              <w:t>详</w:t>
            </w:r>
            <w:proofErr w:type="gramEnd"/>
            <w:r>
              <w:rPr>
                <w:rFonts w:ascii="楷体" w:eastAsia="楷体" w:hAnsi="楷体" w:cs="宋体" w:hint="eastAsia"/>
                <w:spacing w:val="-2"/>
                <w:sz w:val="18"/>
                <w:szCs w:val="18"/>
              </w:rPr>
              <w:t>见下文“产品终止”。</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封闭运作期</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2025年7月16日-2025年8月17日，封闭运作期内不可申购/赎回。</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开放计划</w:t>
            </w:r>
          </w:p>
        </w:tc>
        <w:tc>
          <w:tcPr>
            <w:tcW w:w="7942" w:type="dxa"/>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b/>
                <w:bCs/>
                <w:spacing w:val="-2"/>
                <w:sz w:val="18"/>
                <w:szCs w:val="18"/>
                <w:u w:val="single"/>
              </w:rPr>
              <w:t>本产品封闭运作期结束后，自2025年8月18日起按开放日接受投资者的申购/赎回申请，每个交易日为产品开放日。</w:t>
            </w:r>
            <w:r>
              <w:rPr>
                <w:rFonts w:ascii="楷体" w:eastAsia="楷体" w:hAnsi="楷体" w:cs="宋体" w:hint="eastAsia"/>
                <w:spacing w:val="-2"/>
                <w:sz w:val="18"/>
                <w:szCs w:val="18"/>
              </w:rPr>
              <w:t>管理人有权根据资产运作情况、节假日安排等调整开放日，并在调整前进行公告。</w:t>
            </w:r>
            <w:r>
              <w:rPr>
                <w:rFonts w:ascii="楷体" w:eastAsia="楷体" w:hAnsi="楷体" w:cs="宋体" w:hint="eastAsia"/>
                <w:b/>
                <w:bCs/>
                <w:spacing w:val="-2"/>
                <w:sz w:val="18"/>
                <w:szCs w:val="18"/>
                <w:u w:val="single"/>
              </w:rPr>
              <w:t>交易日指上海证券交易所和深圳证券交易所的正常开盘交易日。</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rightChars="31" w:right="65"/>
              <w:jc w:val="both"/>
              <w:rPr>
                <w:rFonts w:ascii="楷体" w:eastAsia="楷体" w:hAnsi="楷体" w:cs="宋体"/>
                <w:b/>
                <w:spacing w:val="-2"/>
                <w:sz w:val="18"/>
                <w:szCs w:val="18"/>
              </w:rPr>
            </w:pPr>
            <w:r>
              <w:rPr>
                <w:rFonts w:ascii="楷体" w:eastAsia="楷体" w:hAnsi="楷体" w:cs="宋体" w:hint="eastAsia"/>
                <w:b/>
                <w:spacing w:val="-2"/>
                <w:sz w:val="18"/>
                <w:szCs w:val="18"/>
              </w:rPr>
              <w:t>单个投资者单笔购买上限</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10000万元。超过购买上限时，管理人有权拒绝投资者购买申请。产品存续期</w:t>
            </w:r>
            <w:r>
              <w:rPr>
                <w:rFonts w:ascii="楷体" w:eastAsia="楷体" w:hAnsi="楷体" w:cs="宋体"/>
                <w:spacing w:val="-2"/>
                <w:sz w:val="18"/>
                <w:szCs w:val="18"/>
              </w:rPr>
              <w:t>内管理人有权根据实际情况调整</w:t>
            </w:r>
            <w:r>
              <w:rPr>
                <w:rFonts w:ascii="楷体" w:eastAsia="楷体" w:hAnsi="楷体" w:cs="宋体" w:hint="eastAsia"/>
                <w:spacing w:val="-2"/>
                <w:sz w:val="18"/>
                <w:szCs w:val="18"/>
              </w:rPr>
              <w:t>单个投资者单笔购买上限。</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rightChars="31" w:right="65"/>
              <w:jc w:val="both"/>
              <w:rPr>
                <w:rFonts w:ascii="楷体" w:eastAsia="楷体" w:hAnsi="楷体" w:cs="宋体"/>
                <w:b/>
                <w:spacing w:val="-2"/>
                <w:sz w:val="18"/>
                <w:szCs w:val="18"/>
              </w:rPr>
            </w:pPr>
            <w:r>
              <w:rPr>
                <w:rFonts w:ascii="楷体" w:eastAsia="楷体" w:hAnsi="楷体" w:cs="宋体" w:hint="eastAsia"/>
                <w:b/>
                <w:spacing w:val="-2"/>
                <w:sz w:val="18"/>
                <w:szCs w:val="18"/>
              </w:rPr>
              <w:t>单个投资者单笔</w:t>
            </w:r>
            <w:r>
              <w:rPr>
                <w:rFonts w:ascii="楷体" w:eastAsia="楷体" w:hAnsi="楷体" w:cs="宋体"/>
                <w:b/>
                <w:spacing w:val="-2"/>
                <w:sz w:val="18"/>
                <w:szCs w:val="18"/>
              </w:rPr>
              <w:t>赎回</w:t>
            </w:r>
            <w:r>
              <w:rPr>
                <w:rFonts w:ascii="楷体" w:eastAsia="楷体" w:hAnsi="楷体" w:cs="宋体" w:hint="eastAsia"/>
                <w:b/>
                <w:spacing w:val="-2"/>
                <w:sz w:val="18"/>
                <w:szCs w:val="18"/>
              </w:rPr>
              <w:t>上限</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10000万份。超过</w:t>
            </w:r>
            <w:r>
              <w:rPr>
                <w:rFonts w:ascii="楷体" w:eastAsia="楷体" w:hAnsi="楷体" w:cs="宋体"/>
                <w:spacing w:val="-2"/>
                <w:sz w:val="18"/>
                <w:szCs w:val="18"/>
              </w:rPr>
              <w:t>赎回</w:t>
            </w:r>
            <w:r>
              <w:rPr>
                <w:rFonts w:ascii="楷体" w:eastAsia="楷体" w:hAnsi="楷体" w:cs="宋体" w:hint="eastAsia"/>
                <w:spacing w:val="-2"/>
                <w:sz w:val="18"/>
                <w:szCs w:val="18"/>
              </w:rPr>
              <w:t>上限时，管理人有权拒绝投资者</w:t>
            </w:r>
            <w:r>
              <w:rPr>
                <w:rFonts w:ascii="楷体" w:eastAsia="楷体" w:hAnsi="楷体" w:cs="宋体"/>
                <w:spacing w:val="-2"/>
                <w:sz w:val="18"/>
                <w:szCs w:val="18"/>
              </w:rPr>
              <w:t>赎回</w:t>
            </w:r>
            <w:r>
              <w:rPr>
                <w:rFonts w:ascii="楷体" w:eastAsia="楷体" w:hAnsi="楷体" w:cs="宋体" w:hint="eastAsia"/>
                <w:spacing w:val="-2"/>
                <w:sz w:val="18"/>
                <w:szCs w:val="18"/>
              </w:rPr>
              <w:t>申请。产品存续期</w:t>
            </w:r>
            <w:r>
              <w:rPr>
                <w:rFonts w:ascii="楷体" w:eastAsia="楷体" w:hAnsi="楷体" w:cs="宋体"/>
                <w:spacing w:val="-2"/>
                <w:sz w:val="18"/>
                <w:szCs w:val="18"/>
              </w:rPr>
              <w:t>内管理人有权根据实际情况调整</w:t>
            </w:r>
            <w:r>
              <w:rPr>
                <w:rFonts w:ascii="楷体" w:eastAsia="楷体" w:hAnsi="楷体" w:cs="宋体" w:hint="eastAsia"/>
                <w:spacing w:val="-2"/>
                <w:sz w:val="18"/>
                <w:szCs w:val="18"/>
              </w:rPr>
              <w:t>单个投资者单笔赎回上限。</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rightChars="31" w:right="65"/>
              <w:jc w:val="both"/>
              <w:rPr>
                <w:rFonts w:ascii="楷体" w:eastAsia="楷体" w:hAnsi="楷体" w:cs="宋体"/>
                <w:b/>
                <w:spacing w:val="-2"/>
                <w:sz w:val="18"/>
                <w:szCs w:val="18"/>
              </w:rPr>
            </w:pPr>
            <w:r>
              <w:rPr>
                <w:rFonts w:ascii="楷体" w:eastAsia="楷体" w:hAnsi="楷体" w:cs="宋体" w:hint="eastAsia"/>
                <w:b/>
                <w:spacing w:val="-2"/>
                <w:sz w:val="18"/>
                <w:szCs w:val="18"/>
              </w:rPr>
              <w:t>单个投资者持有比例上限</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单一投资者持有份额不得超过总份额50%。非因主观因素导致突破前款规定比例限制的，在单一投资者持有份额占理财产品总份额比例降至50%以下之前，不再接受该单一投资者对理财产品的购买申请。</w:t>
            </w:r>
          </w:p>
        </w:tc>
      </w:tr>
      <w:tr w:rsidR="00662B66" w:rsidTr="00404497">
        <w:trPr>
          <w:jc w:val="center"/>
        </w:trPr>
        <w:tc>
          <w:tcPr>
            <w:tcW w:w="1696" w:type="dxa"/>
            <w:vAlign w:val="center"/>
          </w:tcPr>
          <w:p w:rsidR="00662B66" w:rsidRDefault="00662B66" w:rsidP="00404497">
            <w:pPr>
              <w:pStyle w:val="TableParagraph"/>
              <w:kinsoku w:val="0"/>
              <w:overflowPunct w:val="0"/>
              <w:snapToGrid w:val="0"/>
              <w:jc w:val="both"/>
              <w:rPr>
                <w:rFonts w:ascii="楷体" w:eastAsia="楷体" w:hAnsi="楷体" w:cs="宋体"/>
                <w:b/>
                <w:spacing w:val="-2"/>
                <w:sz w:val="18"/>
                <w:szCs w:val="18"/>
              </w:rPr>
            </w:pPr>
            <w:r>
              <w:rPr>
                <w:rFonts w:ascii="楷体" w:eastAsia="楷体" w:hAnsi="楷体" w:cs="宋体" w:hint="eastAsia"/>
                <w:b/>
                <w:spacing w:val="-2"/>
                <w:sz w:val="18"/>
                <w:szCs w:val="18"/>
              </w:rPr>
              <w:t>巨额</w:t>
            </w:r>
            <w:r>
              <w:rPr>
                <w:rFonts w:ascii="楷体" w:eastAsia="楷体" w:hAnsi="楷体" w:cs="宋体"/>
                <w:b/>
                <w:spacing w:val="-2"/>
                <w:sz w:val="18"/>
                <w:szCs w:val="18"/>
              </w:rPr>
              <w:t>申购</w:t>
            </w:r>
          </w:p>
        </w:tc>
        <w:tc>
          <w:tcPr>
            <w:tcW w:w="7942" w:type="dxa"/>
            <w:vAlign w:val="center"/>
          </w:tcPr>
          <w:p w:rsidR="00662B66" w:rsidRDefault="00662B66" w:rsidP="00404497">
            <w:pPr>
              <w:snapToGrid w:val="0"/>
              <w:ind w:leftChars="10" w:left="21" w:rightChars="10" w:right="21"/>
              <w:rPr>
                <w:rFonts w:ascii="楷体" w:eastAsia="楷体" w:hAnsi="楷体" w:cs="宋体"/>
                <w:spacing w:val="-2"/>
                <w:kern w:val="0"/>
                <w:sz w:val="18"/>
                <w:szCs w:val="18"/>
              </w:rPr>
            </w:pPr>
            <w:r>
              <w:rPr>
                <w:rFonts w:ascii="楷体" w:eastAsia="楷体" w:hAnsi="楷体" w:cs="宋体" w:hint="eastAsia"/>
                <w:spacing w:val="-2"/>
                <w:kern w:val="0"/>
                <w:sz w:val="18"/>
                <w:szCs w:val="18"/>
              </w:rPr>
              <w:t>本产品单个开放日投资者净申购额（申购申请份额总数扣除赎回申请份额总数）超过上一日日终份额20%时，即认为发生了巨额申购。</w:t>
            </w:r>
            <w:r>
              <w:rPr>
                <w:rFonts w:ascii="楷体" w:eastAsia="楷体" w:hAnsi="楷体" w:cs="宋体" w:hint="eastAsia"/>
                <w:b/>
                <w:bCs/>
                <w:spacing w:val="-2"/>
                <w:kern w:val="0"/>
                <w:sz w:val="18"/>
                <w:szCs w:val="18"/>
                <w:u w:val="single"/>
              </w:rPr>
              <w:t>当出现巨额申购时，管理人有权拒绝投资者的全部或部分申购申请。</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巨额赎回</w:t>
            </w:r>
          </w:p>
        </w:tc>
        <w:tc>
          <w:tcPr>
            <w:tcW w:w="7942" w:type="dxa"/>
            <w:vAlign w:val="center"/>
          </w:tcPr>
          <w:p w:rsidR="00662B66" w:rsidRDefault="00662B66" w:rsidP="00404497">
            <w:pPr>
              <w:snapToGrid w:val="0"/>
              <w:ind w:leftChars="10" w:left="21" w:rightChars="10" w:right="21"/>
              <w:rPr>
                <w:rFonts w:ascii="楷体" w:eastAsia="楷体" w:hAnsi="楷体" w:cs="宋体"/>
                <w:b/>
                <w:bCs/>
                <w:spacing w:val="-2"/>
                <w:sz w:val="18"/>
                <w:szCs w:val="18"/>
                <w:u w:val="single"/>
              </w:rPr>
            </w:pPr>
            <w:r>
              <w:rPr>
                <w:rFonts w:ascii="楷体" w:eastAsia="楷体" w:hAnsi="楷体" w:cs="宋体" w:hint="eastAsia"/>
                <w:b/>
                <w:bCs/>
                <w:spacing w:val="-2"/>
                <w:sz w:val="18"/>
                <w:szCs w:val="18"/>
                <w:u w:val="single"/>
              </w:rPr>
              <w:t>本产品单个开放日投资者净赎回额（赎回申请份额总数扣除申购申请份额总数）超过上一日日终份额10%时，即认为发生了巨额赎回。管理人可以根据本产品当时的资产组合状况决定采取全额赎回、部分赎回、</w:t>
            </w:r>
            <w:r>
              <w:rPr>
                <w:rFonts w:ascii="楷体" w:eastAsia="楷体" w:hAnsi="楷体" w:cs="宋体"/>
                <w:b/>
                <w:bCs/>
                <w:spacing w:val="-2"/>
                <w:sz w:val="18"/>
                <w:szCs w:val="18"/>
                <w:u w:val="single"/>
              </w:rPr>
              <w:t>延期</w:t>
            </w:r>
            <w:r>
              <w:rPr>
                <w:rFonts w:ascii="楷体" w:eastAsia="楷体" w:hAnsi="楷体" w:cs="宋体" w:hint="eastAsia"/>
                <w:b/>
                <w:bCs/>
                <w:spacing w:val="-2"/>
                <w:sz w:val="18"/>
                <w:szCs w:val="18"/>
                <w:u w:val="single"/>
              </w:rPr>
              <w:t>办理</w:t>
            </w:r>
            <w:r>
              <w:rPr>
                <w:rFonts w:ascii="楷体" w:eastAsia="楷体" w:hAnsi="楷体" w:cs="宋体"/>
                <w:b/>
                <w:bCs/>
                <w:spacing w:val="-2"/>
                <w:sz w:val="18"/>
                <w:szCs w:val="18"/>
                <w:u w:val="single"/>
              </w:rPr>
              <w:t>巨额赎回</w:t>
            </w:r>
            <w:r>
              <w:rPr>
                <w:rFonts w:ascii="楷体" w:eastAsia="楷体" w:hAnsi="楷体" w:cs="宋体" w:hint="eastAsia"/>
                <w:b/>
                <w:bCs/>
                <w:spacing w:val="-2"/>
                <w:sz w:val="18"/>
                <w:szCs w:val="18"/>
                <w:u w:val="single"/>
              </w:rPr>
              <w:t>等</w:t>
            </w:r>
            <w:r>
              <w:rPr>
                <w:rFonts w:ascii="楷体" w:eastAsia="楷体" w:hAnsi="楷体" w:cs="宋体"/>
                <w:b/>
                <w:bCs/>
                <w:spacing w:val="-2"/>
                <w:sz w:val="18"/>
                <w:szCs w:val="18"/>
                <w:u w:val="single"/>
              </w:rPr>
              <w:t>措施</w:t>
            </w:r>
            <w:r>
              <w:rPr>
                <w:rFonts w:ascii="楷体" w:eastAsia="楷体" w:hAnsi="楷体" w:cs="宋体" w:hint="eastAsia"/>
                <w:b/>
                <w:bCs/>
                <w:spacing w:val="-2"/>
                <w:sz w:val="18"/>
                <w:szCs w:val="18"/>
                <w:u w:val="single"/>
              </w:rPr>
              <w:t>，管理人将在采取</w:t>
            </w:r>
            <w:r>
              <w:rPr>
                <w:rFonts w:ascii="楷体" w:eastAsia="楷体" w:hAnsi="楷体" w:cs="宋体"/>
                <w:b/>
                <w:bCs/>
                <w:spacing w:val="-2"/>
                <w:sz w:val="18"/>
                <w:szCs w:val="18"/>
                <w:u w:val="single"/>
              </w:rPr>
              <w:t>相关</w:t>
            </w:r>
            <w:r>
              <w:rPr>
                <w:rFonts w:ascii="楷体" w:eastAsia="楷体" w:hAnsi="楷体" w:cs="宋体" w:hint="eastAsia"/>
                <w:b/>
                <w:bCs/>
                <w:spacing w:val="-2"/>
                <w:sz w:val="18"/>
                <w:szCs w:val="18"/>
                <w:u w:val="single"/>
              </w:rPr>
              <w:t>措施后3个工作日内进行信息披露。</w:t>
            </w:r>
          </w:p>
          <w:p w:rsidR="00662B66" w:rsidRDefault="00662B66" w:rsidP="00404497">
            <w:pPr>
              <w:snapToGrid w:val="0"/>
              <w:ind w:leftChars="10" w:left="21" w:rightChars="10" w:right="21"/>
              <w:rPr>
                <w:rFonts w:ascii="楷体" w:eastAsia="楷体" w:hAnsi="楷体" w:cs="宋体"/>
                <w:bCs/>
                <w:spacing w:val="-2"/>
                <w:sz w:val="18"/>
                <w:szCs w:val="18"/>
              </w:rPr>
            </w:pPr>
            <w:r>
              <w:rPr>
                <w:rFonts w:ascii="楷体" w:eastAsia="楷体" w:hAnsi="楷体" w:cs="宋体" w:hint="eastAsia"/>
                <w:bCs/>
                <w:spacing w:val="-2"/>
                <w:sz w:val="18"/>
                <w:szCs w:val="18"/>
              </w:rPr>
              <w:t>1.全额赎回：当管理人有能力兑付投资者的全部赎回申请时，将在申请确认日按投资者申请赎回份额执行正常赎回程序。</w:t>
            </w:r>
          </w:p>
          <w:p w:rsidR="00662B66" w:rsidRDefault="00662B66" w:rsidP="00404497">
            <w:pPr>
              <w:snapToGrid w:val="0"/>
              <w:ind w:leftChars="10" w:left="21" w:rightChars="10" w:right="21"/>
              <w:rPr>
                <w:rFonts w:ascii="楷体" w:eastAsia="楷体" w:hAnsi="楷体" w:cs="宋体"/>
                <w:bCs/>
                <w:strike/>
                <w:spacing w:val="-2"/>
                <w:sz w:val="18"/>
                <w:szCs w:val="18"/>
              </w:rPr>
            </w:pPr>
            <w:r>
              <w:rPr>
                <w:rFonts w:ascii="楷体" w:eastAsia="楷体" w:hAnsi="楷体" w:cs="宋体" w:hint="eastAsia"/>
                <w:bCs/>
                <w:spacing w:val="-2"/>
                <w:sz w:val="18"/>
                <w:szCs w:val="18"/>
              </w:rPr>
              <w:t>2.部分赎回</w:t>
            </w:r>
            <w:r>
              <w:rPr>
                <w:rFonts w:ascii="楷体" w:eastAsia="楷体" w:hAnsi="楷体" w:cs="宋体"/>
                <w:bCs/>
                <w:spacing w:val="-2"/>
                <w:sz w:val="18"/>
                <w:szCs w:val="18"/>
              </w:rPr>
              <w:t>：</w:t>
            </w:r>
            <w:r>
              <w:rPr>
                <w:rFonts w:ascii="楷体" w:eastAsia="楷体" w:hAnsi="楷体" w:cs="宋体" w:hint="eastAsia"/>
                <w:bCs/>
                <w:spacing w:val="-2"/>
                <w:sz w:val="18"/>
                <w:szCs w:val="18"/>
              </w:rPr>
              <w:t>当管理人认为兑付投资者的赎回申请可能会对产品的资产净值造成较大波动时，当日办理的赎回份额不得低于前一日日终理财产品总份额的10%，对其余赎回申请管理人有权暂停接受或延期办理。对该产品单个投资者的赎回申请，按照其申请占当日申请赎回总份额的比例，确定该投资者当日办理的赎回份额。（示例：某投资者当日申请赎回份额5万份，当日全部赎回申请10000万份，假设前</w:t>
            </w:r>
            <w:proofErr w:type="gramStart"/>
            <w:r>
              <w:rPr>
                <w:rFonts w:ascii="楷体" w:eastAsia="楷体" w:hAnsi="楷体" w:cs="宋体" w:hint="eastAsia"/>
                <w:bCs/>
                <w:spacing w:val="-2"/>
                <w:sz w:val="18"/>
                <w:szCs w:val="18"/>
              </w:rPr>
              <w:t>一日日终总份额</w:t>
            </w:r>
            <w:proofErr w:type="gramEnd"/>
            <w:r>
              <w:rPr>
                <w:rFonts w:ascii="楷体" w:eastAsia="楷体" w:hAnsi="楷体" w:cs="宋体" w:hint="eastAsia"/>
                <w:bCs/>
                <w:spacing w:val="-2"/>
                <w:sz w:val="18"/>
                <w:szCs w:val="18"/>
              </w:rPr>
              <w:t>50000万份，发生巨额赎回，管理人当日办理的赎回份额5000万份，则该投资者当日确认办理的份额为5/10000*5000=2.5万份。）</w:t>
            </w:r>
          </w:p>
          <w:p w:rsidR="00662B66" w:rsidRDefault="00662B66" w:rsidP="00404497">
            <w:pPr>
              <w:snapToGrid w:val="0"/>
              <w:ind w:leftChars="10" w:left="21" w:rightChars="10" w:right="21"/>
              <w:rPr>
                <w:rFonts w:ascii="楷体" w:eastAsia="楷体" w:hAnsi="楷体" w:cs="宋体"/>
                <w:bCs/>
                <w:spacing w:val="-2"/>
                <w:sz w:val="18"/>
                <w:szCs w:val="18"/>
              </w:rPr>
            </w:pPr>
            <w:r>
              <w:rPr>
                <w:rFonts w:ascii="楷体" w:eastAsia="楷体" w:hAnsi="楷体" w:cs="宋体" w:hint="eastAsia"/>
                <w:bCs/>
                <w:spacing w:val="-2"/>
                <w:sz w:val="18"/>
                <w:szCs w:val="18"/>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662B66" w:rsidRDefault="00662B66" w:rsidP="00404497">
            <w:pPr>
              <w:snapToGrid w:val="0"/>
              <w:ind w:leftChars="10" w:left="21" w:rightChars="10" w:right="21"/>
              <w:rPr>
                <w:rFonts w:ascii="楷体" w:eastAsia="楷体" w:hAnsi="楷体" w:cs="宋体"/>
                <w:b/>
                <w:spacing w:val="-2"/>
                <w:sz w:val="18"/>
                <w:szCs w:val="18"/>
                <w:u w:val="single"/>
              </w:rPr>
            </w:pPr>
            <w:r>
              <w:rPr>
                <w:rFonts w:ascii="楷体" w:eastAsia="楷体" w:hAnsi="楷体" w:cs="宋体" w:hint="eastAsia"/>
                <w:bCs/>
                <w:spacing w:val="-2"/>
                <w:sz w:val="18"/>
                <w:szCs w:val="18"/>
              </w:rPr>
              <w:t>3.延缓支付赎回款项：连续2个以上开放日发生巨额赎回的，管理人除有权选择全额赎回或部分赎回等措施外，对于已经接受的赎回申请，管理人可以延缓支付赎回款项，但延缓期限不得超过20个工作日。</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4"/>
              <w:jc w:val="both"/>
              <w:rPr>
                <w:rFonts w:ascii="楷体" w:eastAsia="楷体" w:hAnsi="楷体" w:cs="宋体"/>
                <w:b/>
                <w:spacing w:val="-2"/>
                <w:sz w:val="18"/>
                <w:szCs w:val="18"/>
              </w:rPr>
            </w:pPr>
            <w:r>
              <w:rPr>
                <w:rFonts w:ascii="楷体" w:eastAsia="楷体" w:hAnsi="楷体" w:cs="宋体" w:hint="eastAsia"/>
                <w:b/>
                <w:spacing w:val="-2"/>
                <w:sz w:val="18"/>
                <w:szCs w:val="18"/>
              </w:rPr>
              <w:t>业绩比较基准</w:t>
            </w:r>
          </w:p>
          <w:p w:rsidR="00662B66" w:rsidRDefault="00662B66" w:rsidP="00404497">
            <w:pPr>
              <w:pStyle w:val="TableParagraph"/>
              <w:kinsoku w:val="0"/>
              <w:overflowPunct w:val="0"/>
              <w:snapToGrid w:val="0"/>
              <w:ind w:left="2"/>
              <w:jc w:val="both"/>
              <w:rPr>
                <w:rFonts w:ascii="楷体" w:eastAsia="楷体" w:hAnsi="楷体" w:cs="宋体"/>
                <w:b/>
                <w:spacing w:val="-2"/>
                <w:sz w:val="18"/>
                <w:szCs w:val="18"/>
              </w:rPr>
            </w:pPr>
            <w:r>
              <w:rPr>
                <w:rFonts w:ascii="楷体" w:eastAsia="楷体" w:hAnsi="楷体" w:cs="宋体" w:hint="eastAsia"/>
                <w:b/>
                <w:spacing w:val="-2"/>
                <w:sz w:val="18"/>
                <w:szCs w:val="18"/>
              </w:rPr>
              <w:t>（年化）</w:t>
            </w:r>
          </w:p>
        </w:tc>
        <w:tc>
          <w:tcPr>
            <w:tcW w:w="7942" w:type="dxa"/>
            <w:vAlign w:val="center"/>
          </w:tcPr>
          <w:p w:rsidR="00662B66" w:rsidRDefault="00662B66" w:rsidP="00404497">
            <w:pPr>
              <w:snapToGrid w:val="0"/>
              <w:ind w:leftChars="10" w:left="21" w:rightChars="10" w:right="21"/>
              <w:rPr>
                <w:rFonts w:ascii="楷体" w:eastAsia="楷体" w:hAnsi="楷体" w:cs="宋体"/>
                <w:b/>
                <w:spacing w:val="-2"/>
                <w:sz w:val="18"/>
                <w:szCs w:val="18"/>
                <w:u w:val="single"/>
              </w:rPr>
            </w:pPr>
            <w:r>
              <w:rPr>
                <w:rFonts w:ascii="楷体" w:eastAsia="楷体" w:hAnsi="楷体" w:cs="宋体" w:hint="eastAsia"/>
                <w:b/>
                <w:spacing w:val="-2"/>
                <w:sz w:val="18"/>
                <w:szCs w:val="18"/>
                <w:u w:val="single"/>
              </w:rPr>
              <w:t>1.管理人参考过往投资经验，依据近期货币市场工具、债券等资产投资收益水平，在产品说明书约定的投资范围和投资比例内，综合考虑各类份额收取的销售服务费和投资管理费等费用情况，模拟测算得出业绩比较基准。</w:t>
            </w:r>
          </w:p>
          <w:p w:rsidR="00662B66" w:rsidRDefault="00662B66" w:rsidP="00404497">
            <w:pPr>
              <w:snapToGrid w:val="0"/>
              <w:ind w:leftChars="10" w:left="21" w:rightChars="10" w:right="21"/>
              <w:rPr>
                <w:rFonts w:ascii="楷体" w:eastAsia="楷体" w:hAnsi="楷体" w:cs="宋体"/>
                <w:b/>
                <w:spacing w:val="-2"/>
                <w:sz w:val="18"/>
                <w:szCs w:val="18"/>
                <w:u w:val="single"/>
              </w:rPr>
            </w:pPr>
            <w:r>
              <w:rPr>
                <w:rFonts w:ascii="楷体" w:eastAsia="楷体" w:hAnsi="楷体" w:cs="宋体" w:hint="eastAsia"/>
                <w:b/>
                <w:spacing w:val="-2"/>
                <w:sz w:val="18"/>
                <w:szCs w:val="18"/>
                <w:u w:val="single"/>
              </w:rPr>
              <w:t>2.本产品各类份额可能因收取的销售服务费和投资管理费存在差异，业绩比较基准设置有所不同。</w:t>
            </w:r>
            <w:r>
              <w:rPr>
                <w:rFonts w:ascii="楷体" w:eastAsia="楷体" w:hAnsi="楷体" w:cs="宋体" w:hint="eastAsia"/>
                <w:bCs/>
                <w:spacing w:val="-2"/>
                <w:sz w:val="18"/>
                <w:szCs w:val="18"/>
              </w:rPr>
              <w:t>各类份额业绩比较基准如下：</w:t>
            </w:r>
          </w:p>
          <w:p w:rsidR="00662B66" w:rsidRDefault="00662B66" w:rsidP="00404497">
            <w:pPr>
              <w:snapToGrid w:val="0"/>
              <w:ind w:leftChars="10" w:left="21" w:rightChars="10" w:right="21"/>
              <w:rPr>
                <w:rFonts w:ascii="楷体" w:eastAsia="楷体" w:hAnsi="楷体" w:cs="宋体"/>
                <w:bCs/>
                <w:spacing w:val="-2"/>
                <w:sz w:val="18"/>
                <w:szCs w:val="18"/>
              </w:rPr>
            </w:pPr>
            <w:r>
              <w:rPr>
                <w:rFonts w:ascii="楷体" w:eastAsia="楷体" w:hAnsi="楷体" w:cs="宋体" w:hint="eastAsia"/>
                <w:bCs/>
                <w:spacing w:val="-2"/>
                <w:sz w:val="18"/>
                <w:szCs w:val="18"/>
              </w:rPr>
              <w:t>中国人民银行公布的7天通知存款利率+0.30%</w:t>
            </w:r>
          </w:p>
          <w:p w:rsidR="00662B66" w:rsidRDefault="00662B66" w:rsidP="00404497">
            <w:pPr>
              <w:snapToGrid w:val="0"/>
              <w:ind w:leftChars="10" w:left="21" w:rightChars="10" w:right="21"/>
              <w:rPr>
                <w:rFonts w:ascii="楷体" w:eastAsia="楷体" w:hAnsi="楷体" w:cs="宋体"/>
                <w:spacing w:val="-2"/>
                <w:sz w:val="18"/>
                <w:szCs w:val="18"/>
              </w:rPr>
            </w:pPr>
            <w:r>
              <w:rPr>
                <w:rFonts w:ascii="楷体" w:eastAsia="楷体" w:hAnsi="楷体" w:cs="宋体" w:hint="eastAsia"/>
                <w:b/>
                <w:spacing w:val="-2"/>
                <w:sz w:val="18"/>
                <w:szCs w:val="18"/>
                <w:u w:val="single"/>
              </w:rPr>
              <w:lastRenderedPageBreak/>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4"/>
              <w:jc w:val="both"/>
              <w:rPr>
                <w:rFonts w:ascii="楷体" w:eastAsia="楷体" w:hAnsi="楷体" w:cs="宋体"/>
                <w:b/>
                <w:spacing w:val="-2"/>
                <w:sz w:val="18"/>
                <w:szCs w:val="18"/>
              </w:rPr>
            </w:pPr>
            <w:r>
              <w:rPr>
                <w:rFonts w:ascii="楷体" w:eastAsia="楷体" w:hAnsi="楷体" w:cs="宋体" w:hint="eastAsia"/>
                <w:b/>
                <w:spacing w:val="-2"/>
                <w:sz w:val="18"/>
                <w:szCs w:val="18"/>
              </w:rPr>
              <w:lastRenderedPageBreak/>
              <w:t>产品费用</w:t>
            </w:r>
          </w:p>
        </w:tc>
        <w:tc>
          <w:tcPr>
            <w:tcW w:w="7942" w:type="dxa"/>
            <w:vAlign w:val="center"/>
          </w:tcPr>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本产品费用包括托管费、销售服务费、投资管理费、超额业绩报酬（如有）以及产品运作和清算中产生的其他费用等。</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1.托管费率（年化）：0.02%。</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2.销售服务费率（年化）：0.50%。</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3.投资管理费率（年化）：0.60%。</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spacing w:val="-2"/>
                <w:sz w:val="18"/>
                <w:szCs w:val="18"/>
              </w:rPr>
              <w:t>4.超额业绩报酬（如有）：无。</w:t>
            </w:r>
          </w:p>
          <w:p w:rsidR="00662B66" w:rsidRDefault="00662B66" w:rsidP="00404497">
            <w:pPr>
              <w:pStyle w:val="TableParagraph"/>
              <w:kinsoku w:val="0"/>
              <w:overflowPunct w:val="0"/>
              <w:snapToGrid w:val="0"/>
              <w:ind w:leftChars="10" w:left="21" w:rightChars="10" w:right="21"/>
              <w:jc w:val="both"/>
              <w:rPr>
                <w:rFonts w:ascii="楷体" w:eastAsia="楷体" w:hAnsi="楷体" w:cs="宋体"/>
                <w:b/>
                <w:bCs/>
                <w:spacing w:val="-2"/>
                <w:sz w:val="18"/>
                <w:szCs w:val="18"/>
                <w:u w:val="single"/>
              </w:rPr>
            </w:pPr>
            <w:r>
              <w:rPr>
                <w:rFonts w:ascii="楷体" w:eastAsia="楷体" w:hAnsi="楷体" w:cs="宋体" w:hint="eastAsia"/>
                <w:b/>
                <w:bCs/>
                <w:spacing w:val="-2"/>
                <w:sz w:val="18"/>
                <w:szCs w:val="18"/>
                <w:u w:val="single"/>
              </w:rPr>
              <w:t>本产品设置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rsidR="00662B66" w:rsidRDefault="00662B66" w:rsidP="00404497">
            <w:pPr>
              <w:pStyle w:val="TableParagraph"/>
              <w:kinsoku w:val="0"/>
              <w:overflowPunct w:val="0"/>
              <w:snapToGrid w:val="0"/>
              <w:ind w:leftChars="10" w:left="21" w:rightChars="10" w:right="21"/>
              <w:jc w:val="both"/>
              <w:rPr>
                <w:rFonts w:ascii="楷体" w:eastAsia="楷体" w:hAnsi="楷体" w:cs="宋体"/>
                <w:spacing w:val="-2"/>
                <w:sz w:val="18"/>
                <w:szCs w:val="18"/>
              </w:rPr>
            </w:pPr>
            <w:r>
              <w:rPr>
                <w:rFonts w:ascii="楷体" w:eastAsia="楷体" w:hAnsi="楷体" w:cs="宋体" w:hint="eastAsia"/>
                <w:b/>
                <w:bCs/>
                <w:spacing w:val="-2"/>
                <w:sz w:val="18"/>
                <w:szCs w:val="18"/>
                <w:u w:val="single"/>
              </w:rPr>
              <w:t>产品存续期内管理人有权根据产品运行情况制定费率优惠措施，优惠后实际执行的费率以管理人公告为准。</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55"/>
              <w:jc w:val="both"/>
              <w:rPr>
                <w:rFonts w:ascii="楷体" w:eastAsia="楷体" w:hAnsi="楷体" w:cs="宋体"/>
                <w:b/>
                <w:spacing w:val="-2"/>
                <w:sz w:val="18"/>
                <w:szCs w:val="18"/>
              </w:rPr>
            </w:pPr>
            <w:r>
              <w:rPr>
                <w:rFonts w:ascii="楷体" w:eastAsia="楷体" w:hAnsi="楷体" w:cs="宋体" w:hint="eastAsia"/>
                <w:b/>
                <w:spacing w:val="-2"/>
                <w:sz w:val="18"/>
                <w:szCs w:val="18"/>
              </w:rPr>
              <w:t>收益分配</w:t>
            </w:r>
          </w:p>
        </w:tc>
        <w:tc>
          <w:tcPr>
            <w:tcW w:w="7942" w:type="dxa"/>
            <w:vAlign w:val="center"/>
          </w:tcPr>
          <w:p w:rsidR="00662B66" w:rsidRDefault="00662B66" w:rsidP="00404497">
            <w:pPr>
              <w:snapToGrid w:val="0"/>
              <w:ind w:leftChars="10" w:left="21" w:rightChars="10" w:right="21"/>
              <w:rPr>
                <w:rFonts w:ascii="楷体" w:eastAsia="楷体" w:hAnsi="楷体" w:cs="宋体"/>
                <w:spacing w:val="-2"/>
                <w:sz w:val="18"/>
                <w:szCs w:val="18"/>
              </w:rPr>
            </w:pPr>
            <w:r>
              <w:rPr>
                <w:rFonts w:ascii="楷体" w:eastAsia="楷体" w:hAnsi="楷体" w:cs="宋体" w:hint="eastAsia"/>
                <w:spacing w:val="-2"/>
                <w:sz w:val="18"/>
                <w:szCs w:val="18"/>
              </w:rPr>
              <w:t>本产品无分红机制，投资运作情况体现为产品净值变化。产品投资运作到期，投资收益扣除相关费用后，全部分配给投资者。</w:t>
            </w:r>
          </w:p>
        </w:tc>
      </w:tr>
      <w:tr w:rsidR="00662B66" w:rsidTr="00404497">
        <w:trPr>
          <w:jc w:val="center"/>
        </w:trPr>
        <w:tc>
          <w:tcPr>
            <w:tcW w:w="1696" w:type="dxa"/>
            <w:vAlign w:val="center"/>
          </w:tcPr>
          <w:p w:rsidR="00662B66" w:rsidRDefault="00662B66" w:rsidP="00404497">
            <w:pPr>
              <w:pStyle w:val="TableParagraph"/>
              <w:kinsoku w:val="0"/>
              <w:overflowPunct w:val="0"/>
              <w:snapToGrid w:val="0"/>
              <w:ind w:left="55"/>
              <w:jc w:val="both"/>
              <w:rPr>
                <w:rFonts w:ascii="楷体" w:eastAsia="楷体" w:hAnsi="楷体" w:cs="宋体"/>
                <w:b/>
                <w:spacing w:val="-2"/>
                <w:sz w:val="18"/>
                <w:szCs w:val="18"/>
              </w:rPr>
            </w:pPr>
            <w:r>
              <w:rPr>
                <w:rFonts w:ascii="楷体" w:eastAsia="楷体" w:hAnsi="楷体" w:cs="宋体" w:hint="eastAsia"/>
                <w:b/>
                <w:spacing w:val="-2"/>
                <w:sz w:val="18"/>
                <w:szCs w:val="18"/>
              </w:rPr>
              <w:t>税款</w:t>
            </w:r>
          </w:p>
        </w:tc>
        <w:tc>
          <w:tcPr>
            <w:tcW w:w="7942" w:type="dxa"/>
            <w:vAlign w:val="center"/>
          </w:tcPr>
          <w:p w:rsidR="00662B66" w:rsidRDefault="00662B66" w:rsidP="00404497">
            <w:pPr>
              <w:snapToGrid w:val="0"/>
              <w:ind w:leftChars="10" w:left="21" w:rightChars="10" w:right="21"/>
              <w:rPr>
                <w:rFonts w:ascii="楷体" w:eastAsia="楷体" w:hAnsi="楷体" w:cs="宋体"/>
                <w:spacing w:val="-2"/>
                <w:sz w:val="18"/>
                <w:szCs w:val="18"/>
              </w:rPr>
            </w:pPr>
            <w:r>
              <w:rPr>
                <w:rFonts w:ascii="楷体" w:eastAsia="楷体" w:hAnsi="楷体" w:cs="宋体" w:hint="eastAsia"/>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ascii="楷体" w:eastAsia="楷体" w:hAnsi="楷体" w:cs="宋体" w:hint="eastAsia"/>
                <w:b/>
                <w:bCs/>
                <w:spacing w:val="-2"/>
                <w:sz w:val="18"/>
                <w:szCs w:val="18"/>
                <w:u w:val="single"/>
              </w:rPr>
              <w:t>投资者从理财产品取得的收益应缴纳的税款，由投资者自行申报及缴纳。</w:t>
            </w:r>
          </w:p>
        </w:tc>
      </w:tr>
    </w:tbl>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产品管理人</w:t>
      </w:r>
    </w:p>
    <w:p w:rsidR="00662B66" w:rsidRDefault="00662B66" w:rsidP="00662B66">
      <w:pPr>
        <w:ind w:firstLineChars="200" w:firstLine="420"/>
        <w:rPr>
          <w:rFonts w:ascii="楷体" w:eastAsia="楷体" w:hAnsi="楷体"/>
          <w:szCs w:val="21"/>
        </w:rPr>
      </w:pPr>
      <w:r>
        <w:rPr>
          <w:rFonts w:ascii="楷体" w:eastAsia="楷体" w:hAnsi="楷体" w:hint="eastAsia"/>
          <w:szCs w:val="21"/>
        </w:rPr>
        <w:t>本产品管理人为</w:t>
      </w:r>
      <w:r>
        <w:rPr>
          <w:rFonts w:ascii="楷体" w:eastAsia="楷体" w:hAnsi="楷体" w:cs="楷体" w:hint="eastAsia"/>
          <w:b/>
          <w:bCs/>
          <w:szCs w:val="21"/>
          <w:u w:val="single"/>
        </w:rPr>
        <w:t>苏银理财有限责任公司</w:t>
      </w:r>
      <w:r>
        <w:rPr>
          <w:rFonts w:ascii="楷体" w:eastAsia="楷体" w:hAnsi="楷体" w:cs="楷体" w:hint="eastAsia"/>
          <w:szCs w:val="21"/>
        </w:rPr>
        <w:t>（以下简称“苏银理财”）</w:t>
      </w:r>
      <w:r>
        <w:rPr>
          <w:rFonts w:ascii="楷体" w:eastAsia="楷体" w:hAnsi="楷体" w:hint="eastAsia"/>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rsidR="00662B66" w:rsidRDefault="00662B66" w:rsidP="00662B66">
      <w:pPr>
        <w:ind w:firstLineChars="200" w:firstLine="420"/>
      </w:pPr>
      <w:r>
        <w:rPr>
          <w:rFonts w:ascii="楷体" w:eastAsia="楷体" w:hAnsi="楷体" w:hint="eastAsia"/>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产品托管人</w:t>
      </w:r>
    </w:p>
    <w:p w:rsidR="00662B66" w:rsidRDefault="00662B66" w:rsidP="00662B66">
      <w:pPr>
        <w:ind w:firstLineChars="200" w:firstLine="420"/>
      </w:pPr>
      <w:r>
        <w:rPr>
          <w:rFonts w:ascii="楷体" w:eastAsia="楷体" w:hAnsi="楷体" w:hint="eastAsia"/>
          <w:szCs w:val="21"/>
        </w:rPr>
        <w:t>本产品托管人为</w:t>
      </w:r>
      <w:r>
        <w:rPr>
          <w:rFonts w:ascii="楷体" w:eastAsia="楷体" w:hAnsi="楷体" w:cs="楷体" w:hint="eastAsia"/>
          <w:b/>
          <w:bCs/>
          <w:szCs w:val="21"/>
          <w:u w:val="single"/>
        </w:rPr>
        <w:t>江苏银行股份有限公司</w:t>
      </w:r>
      <w:r>
        <w:rPr>
          <w:rFonts w:ascii="楷体" w:eastAsia="楷体" w:hAnsi="楷体" w:hint="eastAsia"/>
          <w:szCs w:val="21"/>
        </w:rPr>
        <w:t>。托管人职责：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ascii="楷体" w:eastAsia="楷体" w:hAnsi="楷体" w:cs="楷体" w:hint="eastAsia"/>
          <w:b/>
          <w:bCs/>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销售机构</w:t>
      </w:r>
    </w:p>
    <w:p w:rsidR="00662B66" w:rsidRDefault="00662B66" w:rsidP="00662B66">
      <w:pPr>
        <w:tabs>
          <w:tab w:val="left" w:pos="1134"/>
        </w:tabs>
        <w:ind w:firstLineChars="200" w:firstLine="420"/>
        <w:rPr>
          <w:rFonts w:ascii="楷体" w:eastAsia="楷体" w:hAnsi="楷体"/>
          <w:szCs w:val="21"/>
        </w:rPr>
      </w:pPr>
      <w:r>
        <w:rPr>
          <w:rFonts w:ascii="楷体" w:eastAsia="楷体" w:hAnsi="楷体" w:hint="eastAsia"/>
          <w:szCs w:val="21"/>
        </w:rPr>
        <w:t>本产品可以通过商业银行、农村合作银行、村镇银行、农村信用合作社等吸收公众存款的银行业金融机构，或者国务院银行业监督管理机构认可的其他机构进行销售。销售机构负责理财产品宣传推广、投资者风险承受能力评估和投资者适当性管理、理财产品投资者身份识别及反洗钱、反恐怖融资及非居民金融账户涉税信息调查、理财产品份额认购/申购/赎回、协助管理人与投资者订立理财产品销售文件、协助投</w:t>
      </w:r>
      <w:r>
        <w:rPr>
          <w:rFonts w:ascii="楷体" w:eastAsia="楷体" w:hAnsi="楷体" w:hint="eastAsia"/>
          <w:szCs w:val="21"/>
        </w:rPr>
        <w:lastRenderedPageBreak/>
        <w:t>资者与管理人沟通、接受投资者咨询和投资者维护等销售服务工作。销售机构不承担产品投资和兑付责任，产品的投资和兑付责任由管理人承担。</w:t>
      </w:r>
    </w:p>
    <w:p w:rsidR="00662B66" w:rsidRDefault="00662B66" w:rsidP="00662B66">
      <w:pPr>
        <w:tabs>
          <w:tab w:val="left" w:pos="993"/>
        </w:tabs>
        <w:ind w:firstLineChars="200" w:firstLine="420"/>
        <w:rPr>
          <w:rFonts w:ascii="楷体" w:eastAsia="楷体" w:hAnsi="楷体"/>
          <w:szCs w:val="21"/>
        </w:rPr>
      </w:pPr>
      <w:r>
        <w:rPr>
          <w:rFonts w:ascii="楷体" w:eastAsia="楷体" w:hAnsi="楷体" w:hint="eastAsia"/>
          <w:szCs w:val="21"/>
        </w:rPr>
        <w:t>本产品各类份额销售机构如下：</w:t>
      </w:r>
    </w:p>
    <w:p w:rsidR="00662B66" w:rsidRDefault="00662B66" w:rsidP="00662B66">
      <w:pPr>
        <w:tabs>
          <w:tab w:val="left" w:pos="993"/>
        </w:tabs>
        <w:ind w:firstLineChars="200" w:firstLine="420"/>
        <w:rPr>
          <w:rFonts w:ascii="楷体" w:eastAsia="楷体" w:hAnsi="楷体"/>
          <w:szCs w:val="21"/>
        </w:rPr>
      </w:pPr>
      <w:r>
        <w:rPr>
          <w:rFonts w:ascii="楷体" w:eastAsia="楷体" w:hAnsi="楷体" w:hint="eastAsia"/>
          <w:szCs w:val="21"/>
        </w:rPr>
        <w:t>A份额：上海浦东发展银行股份有限公司</w:t>
      </w:r>
    </w:p>
    <w:p w:rsidR="00662B66" w:rsidRDefault="00662B66" w:rsidP="00662B66">
      <w:pPr>
        <w:tabs>
          <w:tab w:val="left" w:pos="993"/>
        </w:tabs>
        <w:ind w:firstLineChars="200" w:firstLine="420"/>
        <w:rPr>
          <w:rFonts w:ascii="楷体" w:eastAsia="楷体" w:hAnsi="楷体"/>
          <w:szCs w:val="21"/>
        </w:rPr>
      </w:pPr>
      <w:r>
        <w:rPr>
          <w:rFonts w:ascii="楷体" w:eastAsia="楷体" w:hAnsi="楷体" w:hint="eastAsia"/>
          <w:szCs w:val="21"/>
        </w:rPr>
        <w:t>C份额：苏银理财有限责任公司</w:t>
      </w:r>
    </w:p>
    <w:p w:rsidR="00662B66" w:rsidRDefault="00662B66" w:rsidP="00662B66">
      <w:pPr>
        <w:tabs>
          <w:tab w:val="left" w:pos="993"/>
        </w:tabs>
        <w:ind w:firstLineChars="200" w:firstLine="420"/>
        <w:rPr>
          <w:rFonts w:ascii="楷体" w:eastAsia="楷体" w:hAnsi="楷体"/>
          <w:szCs w:val="21"/>
        </w:rPr>
      </w:pPr>
      <w:r>
        <w:rPr>
          <w:rFonts w:ascii="楷体" w:eastAsia="楷体" w:hAnsi="楷体" w:hint="eastAsia"/>
          <w:szCs w:val="21"/>
        </w:rPr>
        <w:t>D份额：苏银理财有限责任公司</w:t>
      </w:r>
    </w:p>
    <w:p w:rsidR="00662B66" w:rsidRDefault="00662B66" w:rsidP="00662B66">
      <w:pPr>
        <w:tabs>
          <w:tab w:val="left" w:pos="993"/>
        </w:tabs>
        <w:ind w:firstLineChars="200" w:firstLine="420"/>
        <w:rPr>
          <w:rFonts w:ascii="楷体" w:eastAsia="楷体" w:hAnsi="楷体"/>
          <w:szCs w:val="21"/>
        </w:rPr>
      </w:pPr>
      <w:r>
        <w:rPr>
          <w:rFonts w:ascii="楷体" w:eastAsia="楷体" w:hAnsi="楷体" w:hint="eastAsia"/>
          <w:szCs w:val="21"/>
        </w:rPr>
        <w:t>E份额：苏银理财有限责任公司</w:t>
      </w:r>
    </w:p>
    <w:p w:rsidR="00662B66" w:rsidRDefault="00662B66" w:rsidP="00662B66">
      <w:pPr>
        <w:tabs>
          <w:tab w:val="left" w:pos="993"/>
        </w:tabs>
        <w:ind w:firstLineChars="200" w:firstLine="420"/>
      </w:pPr>
      <w:r>
        <w:rPr>
          <w:rFonts w:ascii="楷体" w:eastAsia="楷体" w:hAnsi="楷体" w:hint="eastAsia"/>
          <w:szCs w:val="21"/>
        </w:rPr>
        <w:t>芙蓉锦程·优选份额：苏银理财有限责任公司</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名词释义</w:t>
      </w:r>
    </w:p>
    <w:p w:rsidR="00662B66" w:rsidRDefault="00662B66" w:rsidP="00662B66">
      <w:pPr>
        <w:ind w:firstLineChars="200" w:firstLine="420"/>
        <w:rPr>
          <w:rFonts w:ascii="楷体" w:eastAsia="楷体" w:hAnsi="楷体"/>
          <w:szCs w:val="21"/>
        </w:rPr>
      </w:pPr>
      <w:r>
        <w:rPr>
          <w:rFonts w:ascii="楷体" w:eastAsia="楷体" w:hAnsi="楷体" w:hint="eastAsia"/>
          <w:szCs w:val="21"/>
        </w:rPr>
        <w:t>在本理财产品说明书中，除非上下文另有明确约定，下列用词将具有如下含义：</w:t>
      </w:r>
    </w:p>
    <w:p w:rsidR="00662B66" w:rsidRDefault="00662B66" w:rsidP="00662B66">
      <w:pPr>
        <w:numPr>
          <w:ilvl w:val="0"/>
          <w:numId w:val="7"/>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理财产品用语</w:t>
      </w:r>
    </w:p>
    <w:p w:rsidR="00662B66" w:rsidRDefault="00662B66" w:rsidP="00662B66">
      <w:pPr>
        <w:numPr>
          <w:ilvl w:val="0"/>
          <w:numId w:val="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销售代码：指本理财产品可能设置一类或多类产品份额，管理人在理财产品销售管理过程中对各类份额设置的内部代码。</w:t>
      </w:r>
    </w:p>
    <w:p w:rsidR="00662B66" w:rsidRDefault="00662B66" w:rsidP="00662B66">
      <w:pPr>
        <w:numPr>
          <w:ilvl w:val="0"/>
          <w:numId w:val="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理财产品份额：指投资者持有本理财产品的单位数额。</w:t>
      </w:r>
    </w:p>
    <w:p w:rsidR="00662B66" w:rsidRDefault="00662B66" w:rsidP="00662B66">
      <w:pPr>
        <w:numPr>
          <w:ilvl w:val="0"/>
          <w:numId w:val="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理财产品资产总值：指产品拥有的各类有价证券、银行存款、应收款项及其他资产的价值总和。</w:t>
      </w:r>
    </w:p>
    <w:p w:rsidR="00662B66" w:rsidRDefault="00662B66" w:rsidP="00662B66">
      <w:pPr>
        <w:numPr>
          <w:ilvl w:val="0"/>
          <w:numId w:val="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理财产品负债总值：指产品运作及融资时形成的负债价值总和，包括融资资金本息、应付各项费用（包括托管费、销售</w:t>
      </w:r>
      <w:r>
        <w:rPr>
          <w:rFonts w:ascii="楷体" w:eastAsia="楷体" w:hAnsi="楷体" w:cs="Calibri"/>
          <w:szCs w:val="21"/>
        </w:rPr>
        <w:t>服务费、</w:t>
      </w:r>
      <w:r>
        <w:rPr>
          <w:rFonts w:ascii="楷体" w:eastAsia="楷体" w:hAnsi="楷体" w:cs="Calibri" w:hint="eastAsia"/>
          <w:szCs w:val="21"/>
        </w:rPr>
        <w:t>投资管理费、超额业绩报酬、其他费用等）、应付税金及其他应付款项等。</w:t>
      </w:r>
    </w:p>
    <w:p w:rsidR="00662B66" w:rsidRDefault="00662B66" w:rsidP="00662B66">
      <w:pPr>
        <w:numPr>
          <w:ilvl w:val="0"/>
          <w:numId w:val="8"/>
        </w:numPr>
        <w:tabs>
          <w:tab w:val="clear" w:pos="420"/>
          <w:tab w:val="left" w:pos="728"/>
        </w:tabs>
        <w:ind w:left="0" w:firstLineChars="200" w:firstLine="420"/>
        <w:rPr>
          <w:rFonts w:ascii="楷体" w:eastAsia="楷体" w:hAnsi="楷体" w:cs="楷体"/>
        </w:rPr>
      </w:pPr>
      <w:r>
        <w:rPr>
          <w:rFonts w:ascii="楷体" w:eastAsia="楷体" w:hAnsi="楷体" w:cs="楷体" w:hint="eastAsia"/>
          <w:szCs w:val="21"/>
        </w:rPr>
        <w:t>理财产品资产净值/净资产：指产品资产总值减去产品负债总值后的价值。</w:t>
      </w:r>
    </w:p>
    <w:p w:rsidR="00662B66" w:rsidRDefault="00662B66" w:rsidP="00662B66">
      <w:pPr>
        <w:numPr>
          <w:ilvl w:val="0"/>
          <w:numId w:val="8"/>
        </w:numPr>
        <w:tabs>
          <w:tab w:val="clear" w:pos="420"/>
          <w:tab w:val="left" w:pos="851"/>
        </w:tabs>
        <w:ind w:left="0" w:firstLineChars="200" w:firstLine="420"/>
        <w:rPr>
          <w:rFonts w:ascii="楷体" w:eastAsia="楷体" w:hAnsi="楷体" w:cs="Calibri"/>
          <w:szCs w:val="21"/>
        </w:rPr>
      </w:pPr>
      <w:r>
        <w:rPr>
          <w:rFonts w:ascii="楷体" w:eastAsia="楷体" w:hAnsi="楷体" w:cs="Calibri" w:hint="eastAsia"/>
          <w:szCs w:val="21"/>
        </w:rPr>
        <w:t>理财产品份额单位净值/理财产品单位净值/单位净值：指每1份理财产品份额以人民币计价的价格。理财产品单位净值=资产净值/产品总份额。</w:t>
      </w:r>
    </w:p>
    <w:p w:rsidR="00662B66" w:rsidRDefault="00662B66" w:rsidP="00662B66">
      <w:pPr>
        <w:numPr>
          <w:ilvl w:val="0"/>
          <w:numId w:val="8"/>
        </w:numPr>
        <w:tabs>
          <w:tab w:val="clear" w:pos="420"/>
          <w:tab w:val="left" w:pos="851"/>
        </w:tabs>
        <w:ind w:left="0" w:firstLineChars="200" w:firstLine="420"/>
        <w:rPr>
          <w:rFonts w:ascii="楷体" w:eastAsia="楷体" w:hAnsi="楷体" w:cs="Calibri"/>
          <w:szCs w:val="21"/>
        </w:rPr>
      </w:pPr>
      <w:r>
        <w:rPr>
          <w:rFonts w:ascii="楷体" w:eastAsia="楷体" w:hAnsi="楷体" w:cs="Calibri" w:hint="eastAsia"/>
          <w:szCs w:val="21"/>
        </w:rPr>
        <w:t>产品份额累计净值：指理财产品份额的单位净值与理财产品成立后历次累计单位收益分配的总和。</w:t>
      </w:r>
    </w:p>
    <w:p w:rsidR="00662B66" w:rsidRDefault="00662B66" w:rsidP="00662B66">
      <w:pPr>
        <w:numPr>
          <w:ilvl w:val="0"/>
          <w:numId w:val="8"/>
        </w:numPr>
        <w:tabs>
          <w:tab w:val="clear" w:pos="420"/>
          <w:tab w:val="left" w:pos="851"/>
        </w:tabs>
        <w:ind w:left="0" w:firstLineChars="200" w:firstLine="420"/>
        <w:rPr>
          <w:rFonts w:ascii="楷体" w:eastAsia="楷体" w:hAnsi="楷体" w:cs="Calibri"/>
          <w:szCs w:val="21"/>
        </w:rPr>
      </w:pPr>
      <w:r>
        <w:rPr>
          <w:rFonts w:ascii="楷体" w:eastAsia="楷体" w:hAnsi="楷体" w:cs="Calibri" w:hint="eastAsia"/>
          <w:szCs w:val="21"/>
        </w:rPr>
        <w:t>流动性受限资产：是指由于法律法规、监管、合同或操作障碍等原因无法以合理价格予以变现的资产，包括到期日在10个交易日以上的逆回购与银行定期存款（</w:t>
      </w:r>
      <w:proofErr w:type="gramStart"/>
      <w:r>
        <w:rPr>
          <w:rFonts w:ascii="楷体" w:eastAsia="楷体" w:hAnsi="楷体" w:cs="Calibri" w:hint="eastAsia"/>
          <w:szCs w:val="21"/>
        </w:rPr>
        <w:t>含协议</w:t>
      </w:r>
      <w:proofErr w:type="gramEnd"/>
      <w:r>
        <w:rPr>
          <w:rFonts w:ascii="楷体" w:eastAsia="楷体" w:hAnsi="楷体" w:cs="Calibri" w:hint="eastAsia"/>
          <w:szCs w:val="21"/>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662B66" w:rsidRDefault="00662B66" w:rsidP="00662B66">
      <w:pPr>
        <w:numPr>
          <w:ilvl w:val="0"/>
          <w:numId w:val="8"/>
        </w:numPr>
        <w:tabs>
          <w:tab w:val="clear" w:pos="420"/>
          <w:tab w:val="left" w:pos="851"/>
        </w:tabs>
        <w:ind w:left="0" w:firstLineChars="200" w:firstLine="420"/>
        <w:rPr>
          <w:rFonts w:ascii="楷体" w:eastAsia="楷体" w:hAnsi="楷体" w:cs="Calibri"/>
          <w:szCs w:val="21"/>
        </w:rPr>
      </w:pPr>
      <w:r>
        <w:rPr>
          <w:rFonts w:ascii="楷体" w:eastAsia="楷体" w:hAnsi="楷体" w:cs="Calibri" w:hint="eastAsia"/>
          <w:szCs w:val="21"/>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662B66" w:rsidRDefault="00662B66" w:rsidP="00662B66">
      <w:pPr>
        <w:numPr>
          <w:ilvl w:val="0"/>
          <w:numId w:val="7"/>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期间与日期</w:t>
      </w:r>
    </w:p>
    <w:p w:rsidR="00662B66" w:rsidRDefault="00662B66" w:rsidP="00662B66">
      <w:pPr>
        <w:numPr>
          <w:ilvl w:val="0"/>
          <w:numId w:val="9"/>
        </w:numPr>
        <w:tabs>
          <w:tab w:val="left" w:pos="728"/>
        </w:tabs>
        <w:ind w:left="0" w:firstLineChars="200" w:firstLine="420"/>
        <w:rPr>
          <w:rFonts w:ascii="楷体" w:eastAsia="楷体" w:hAnsi="楷体" w:cs="Calibri"/>
          <w:szCs w:val="21"/>
        </w:rPr>
      </w:pPr>
      <w:r>
        <w:rPr>
          <w:rFonts w:ascii="楷体" w:eastAsia="楷体" w:hAnsi="楷体" w:cs="Calibri" w:hint="eastAsia"/>
          <w:szCs w:val="21"/>
        </w:rPr>
        <w:t>工作日：指国家法定工作日。</w:t>
      </w:r>
    </w:p>
    <w:p w:rsidR="00662B66" w:rsidRDefault="00662B66" w:rsidP="00662B66">
      <w:pPr>
        <w:numPr>
          <w:ilvl w:val="0"/>
          <w:numId w:val="9"/>
        </w:numPr>
        <w:tabs>
          <w:tab w:val="left" w:pos="728"/>
        </w:tabs>
        <w:ind w:left="0" w:firstLineChars="200" w:firstLine="420"/>
        <w:rPr>
          <w:rFonts w:ascii="楷体" w:eastAsia="楷体" w:hAnsi="楷体" w:cs="Calibri"/>
          <w:szCs w:val="21"/>
        </w:rPr>
      </w:pPr>
      <w:r>
        <w:rPr>
          <w:rFonts w:ascii="楷体" w:eastAsia="楷体" w:hAnsi="楷体" w:cs="Calibri" w:hint="eastAsia"/>
          <w:szCs w:val="21"/>
        </w:rPr>
        <w:t>交易日：</w:t>
      </w:r>
      <w:r>
        <w:rPr>
          <w:rFonts w:ascii="楷体" w:eastAsia="楷体" w:hAnsi="楷体" w:cs="Calibri"/>
          <w:szCs w:val="21"/>
        </w:rPr>
        <w:t>指上海证券交易所和深圳证券交易所的正常开盘交易日</w:t>
      </w:r>
      <w:r>
        <w:rPr>
          <w:rFonts w:ascii="楷体" w:eastAsia="楷体" w:hAnsi="楷体" w:cs="Calibri" w:hint="eastAsia"/>
          <w:szCs w:val="21"/>
        </w:rPr>
        <w:t>。</w:t>
      </w:r>
    </w:p>
    <w:p w:rsidR="00662B66" w:rsidRDefault="00662B66" w:rsidP="00662B66">
      <w:pPr>
        <w:numPr>
          <w:ilvl w:val="0"/>
          <w:numId w:val="9"/>
        </w:numPr>
        <w:tabs>
          <w:tab w:val="left" w:pos="728"/>
        </w:tabs>
        <w:ind w:left="0" w:firstLineChars="200" w:firstLine="420"/>
        <w:rPr>
          <w:rFonts w:ascii="楷体" w:eastAsia="楷体" w:hAnsi="楷体" w:cs="Calibri"/>
          <w:szCs w:val="21"/>
        </w:rPr>
      </w:pPr>
      <w:r>
        <w:rPr>
          <w:rFonts w:ascii="楷体" w:eastAsia="楷体" w:hAnsi="楷体" w:cs="Calibri" w:hint="eastAsia"/>
          <w:szCs w:val="21"/>
        </w:rPr>
        <w:t>份额登记日/份额确认日：指管理人对投资者提交的购买申请进行份额登记的日期。</w:t>
      </w:r>
    </w:p>
    <w:p w:rsidR="00662B66" w:rsidRDefault="00662B66" w:rsidP="00662B66">
      <w:pPr>
        <w:numPr>
          <w:ilvl w:val="0"/>
          <w:numId w:val="9"/>
        </w:numPr>
        <w:tabs>
          <w:tab w:val="left" w:pos="728"/>
        </w:tabs>
        <w:ind w:left="0" w:firstLineChars="200" w:firstLine="420"/>
        <w:rPr>
          <w:rFonts w:ascii="楷体" w:eastAsia="楷体" w:hAnsi="楷体" w:cs="Calibri"/>
          <w:szCs w:val="21"/>
        </w:rPr>
      </w:pPr>
      <w:r>
        <w:rPr>
          <w:rFonts w:ascii="楷体" w:eastAsia="楷体" w:hAnsi="楷体" w:cs="Calibri" w:hint="eastAsia"/>
          <w:szCs w:val="21"/>
        </w:rPr>
        <w:t>产品存续期：指自理财产品成立日起，至理财产品终止日的期间。</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投资管理</w:t>
      </w:r>
    </w:p>
    <w:p w:rsidR="00662B66" w:rsidRDefault="00662B66" w:rsidP="00662B66">
      <w:pPr>
        <w:numPr>
          <w:ilvl w:val="0"/>
          <w:numId w:val="10"/>
        </w:numPr>
        <w:tabs>
          <w:tab w:val="clear" w:pos="0"/>
          <w:tab w:val="left" w:pos="993"/>
        </w:tabs>
        <w:ind w:left="0" w:firstLineChars="200" w:firstLine="420"/>
        <w:outlineLvl w:val="2"/>
        <w:rPr>
          <w:rFonts w:ascii="楷体" w:eastAsia="楷体" w:hAnsi="楷体" w:cs="Calibri"/>
          <w:bCs/>
          <w:szCs w:val="21"/>
        </w:rPr>
      </w:pPr>
      <w:r>
        <w:rPr>
          <w:rFonts w:ascii="楷体" w:eastAsia="楷体" w:hAnsi="楷体" w:cs="Calibri" w:hint="eastAsia"/>
          <w:bCs/>
          <w:szCs w:val="21"/>
        </w:rPr>
        <w:t>投资范围和比例</w:t>
      </w:r>
    </w:p>
    <w:p w:rsidR="00662B66" w:rsidRDefault="00662B66" w:rsidP="00662B66">
      <w:pPr>
        <w:ind w:firstLineChars="200" w:firstLine="420"/>
        <w:rPr>
          <w:rFonts w:ascii="楷体" w:eastAsia="楷体" w:hAnsi="楷体"/>
          <w:szCs w:val="21"/>
        </w:rPr>
      </w:pPr>
      <w:r>
        <w:rPr>
          <w:rFonts w:ascii="楷体" w:eastAsia="楷体" w:hAnsi="楷体" w:hint="eastAsia"/>
          <w:szCs w:val="21"/>
        </w:rPr>
        <w:t>本理财产品直接或间接投资于现金、银行存款、债券回购、中央银行票据、同业存单、拆借、货币市场基金、债券、在银行间市场和证券交易所市场发行的资产支持证券和监管机构允许投资的其他资产。具体资产投资比例为：固定收益类资产占产品资产总值比例不低于80%，其他符合监管要求的资产占产品资产总值比例不高于20%。</w:t>
      </w:r>
    </w:p>
    <w:p w:rsidR="00662B66" w:rsidRDefault="00662B66" w:rsidP="00662B66">
      <w:pPr>
        <w:ind w:firstLineChars="200" w:firstLine="420"/>
        <w:rPr>
          <w:rFonts w:ascii="楷体" w:eastAsia="楷体" w:hAnsi="楷体"/>
          <w:szCs w:val="21"/>
        </w:rPr>
      </w:pPr>
      <w:r>
        <w:rPr>
          <w:rFonts w:ascii="楷体" w:eastAsia="楷体" w:hAnsi="楷体" w:hint="eastAsia"/>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rsidR="00662B66" w:rsidRDefault="00662B66" w:rsidP="00662B66">
      <w:pPr>
        <w:numPr>
          <w:ilvl w:val="0"/>
          <w:numId w:val="10"/>
        </w:numPr>
        <w:tabs>
          <w:tab w:val="clear" w:pos="0"/>
          <w:tab w:val="left" w:pos="993"/>
        </w:tabs>
        <w:ind w:left="0" w:firstLineChars="200" w:firstLine="420"/>
        <w:outlineLvl w:val="2"/>
        <w:rPr>
          <w:rFonts w:ascii="楷体" w:eastAsia="楷体" w:hAnsi="楷体" w:cs="Calibri"/>
          <w:bCs/>
          <w:szCs w:val="21"/>
        </w:rPr>
      </w:pPr>
      <w:r>
        <w:rPr>
          <w:rFonts w:ascii="楷体" w:eastAsia="楷体" w:hAnsi="楷体" w:cs="Calibri" w:hint="eastAsia"/>
          <w:bCs/>
          <w:szCs w:val="21"/>
        </w:rPr>
        <w:t>投资策略</w:t>
      </w:r>
    </w:p>
    <w:p w:rsidR="00662B66" w:rsidRDefault="00662B66" w:rsidP="00662B66">
      <w:pPr>
        <w:tabs>
          <w:tab w:val="left" w:pos="993"/>
        </w:tabs>
        <w:ind w:firstLineChars="200" w:firstLine="420"/>
        <w:outlineLvl w:val="2"/>
        <w:rPr>
          <w:rFonts w:ascii="楷体" w:eastAsia="楷体" w:hAnsi="楷体" w:cs="Calibri"/>
          <w:bCs/>
          <w:szCs w:val="21"/>
        </w:rPr>
      </w:pPr>
      <w:r>
        <w:rPr>
          <w:rFonts w:ascii="楷体" w:eastAsia="楷体" w:hAnsi="楷体" w:hint="eastAsia"/>
          <w:szCs w:val="21"/>
        </w:rPr>
        <w:lastRenderedPageBreak/>
        <w:t>本理财产品</w:t>
      </w:r>
      <w:proofErr w:type="gramStart"/>
      <w:r>
        <w:rPr>
          <w:rFonts w:ascii="楷体" w:eastAsia="楷体" w:hAnsi="楷体" w:hint="eastAsia"/>
          <w:szCs w:val="21"/>
        </w:rPr>
        <w:t>低波资产</w:t>
      </w:r>
      <w:proofErr w:type="gramEnd"/>
      <w:r>
        <w:rPr>
          <w:rFonts w:ascii="楷体" w:eastAsia="楷体" w:hAnsi="楷体" w:hint="eastAsia"/>
          <w:szCs w:val="21"/>
        </w:rPr>
        <w:t>筑底，</w:t>
      </w:r>
      <w:proofErr w:type="gramStart"/>
      <w:r>
        <w:rPr>
          <w:rFonts w:ascii="楷体" w:eastAsia="楷体" w:hAnsi="楷体" w:hint="eastAsia"/>
          <w:szCs w:val="21"/>
        </w:rPr>
        <w:t>主投存款</w:t>
      </w:r>
      <w:proofErr w:type="gramEnd"/>
      <w:r>
        <w:rPr>
          <w:rFonts w:ascii="楷体" w:eastAsia="楷体" w:hAnsi="楷体" w:hint="eastAsia"/>
          <w:szCs w:val="21"/>
        </w:rPr>
        <w:t>、同业存单等低波动资产；部分配置优质高评级债券，适度控制久期，根据市场变化保持合理弹性，严控回撤、进退有度，兼顾收益性与低风险偏好，力争为广大投资者创造稳健的投资回报。</w:t>
      </w:r>
    </w:p>
    <w:p w:rsidR="00662B66" w:rsidRDefault="00662B66" w:rsidP="00662B66">
      <w:pPr>
        <w:numPr>
          <w:ilvl w:val="0"/>
          <w:numId w:val="10"/>
        </w:numPr>
        <w:tabs>
          <w:tab w:val="clear" w:pos="0"/>
          <w:tab w:val="left" w:pos="993"/>
        </w:tabs>
        <w:ind w:left="0" w:firstLineChars="200" w:firstLine="420"/>
        <w:outlineLvl w:val="2"/>
        <w:rPr>
          <w:rFonts w:ascii="楷体" w:eastAsia="楷体" w:hAnsi="楷体" w:cs="Calibri"/>
          <w:bCs/>
          <w:szCs w:val="21"/>
        </w:rPr>
      </w:pPr>
      <w:r>
        <w:rPr>
          <w:rFonts w:ascii="楷体" w:eastAsia="楷体" w:hAnsi="楷体" w:cs="Calibri" w:hint="eastAsia"/>
          <w:bCs/>
          <w:szCs w:val="21"/>
        </w:rPr>
        <w:t>投资合作机构</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投资合作机构主要职责是对理财产品受托资金进行投资管理，管理人已按投资决策流程对投资合作机构进行了准入，并持续开展投资合作机构的存续期管理。本产品投资合作机构包括：</w:t>
      </w:r>
    </w:p>
    <w:p w:rsidR="00662B66" w:rsidRDefault="00662B66" w:rsidP="00662B66">
      <w:pPr>
        <w:numPr>
          <w:ilvl w:val="0"/>
          <w:numId w:val="11"/>
        </w:numPr>
        <w:tabs>
          <w:tab w:val="clear" w:pos="0"/>
        </w:tabs>
        <w:ind w:firstLineChars="200" w:firstLine="420"/>
        <w:rPr>
          <w:rFonts w:ascii="楷体" w:eastAsia="楷体" w:hAnsi="楷体"/>
          <w:szCs w:val="21"/>
        </w:rPr>
      </w:pPr>
      <w:proofErr w:type="gramStart"/>
      <w:r>
        <w:rPr>
          <w:rFonts w:ascii="楷体" w:eastAsia="楷体" w:hAnsi="楷体" w:hint="eastAsia"/>
          <w:szCs w:val="21"/>
        </w:rPr>
        <w:t>苏豪弘</w:t>
      </w:r>
      <w:proofErr w:type="gramEnd"/>
      <w:r>
        <w:rPr>
          <w:rFonts w:ascii="楷体" w:eastAsia="楷体" w:hAnsi="楷体" w:hint="eastAsia"/>
          <w:szCs w:val="21"/>
        </w:rPr>
        <w:t>业期货股份有限公司：</w:t>
      </w:r>
      <w:proofErr w:type="gramStart"/>
      <w:r>
        <w:rPr>
          <w:rFonts w:ascii="楷体" w:eastAsia="楷体" w:hAnsi="楷体" w:hint="eastAsia"/>
          <w:szCs w:val="21"/>
        </w:rPr>
        <w:t>苏豪弘</w:t>
      </w:r>
      <w:proofErr w:type="gramEnd"/>
      <w:r>
        <w:rPr>
          <w:rFonts w:ascii="楷体" w:eastAsia="楷体" w:hAnsi="楷体" w:hint="eastAsia"/>
          <w:szCs w:val="21"/>
        </w:rPr>
        <w:t>业期货股份有限公司成立于1995年，隶属于江苏省国资委全资拥有的国有企业</w:t>
      </w:r>
      <w:proofErr w:type="gramStart"/>
      <w:r>
        <w:rPr>
          <w:rFonts w:ascii="楷体" w:eastAsia="楷体" w:hAnsi="楷体" w:hint="eastAsia"/>
          <w:szCs w:val="21"/>
        </w:rPr>
        <w:t>江苏省苏豪控股</w:t>
      </w:r>
      <w:proofErr w:type="gramEnd"/>
      <w:r>
        <w:rPr>
          <w:rFonts w:ascii="楷体" w:eastAsia="楷体" w:hAnsi="楷体" w:hint="eastAsia"/>
          <w:szCs w:val="21"/>
        </w:rPr>
        <w:t>集团有限公司。公司经营范围涵盖商品期货经纪、金融期货经纪、期货投资咨询、资产管理、基金销售业务。</w:t>
      </w:r>
    </w:p>
    <w:p w:rsidR="00662B66" w:rsidRDefault="00662B66" w:rsidP="00662B66">
      <w:pPr>
        <w:numPr>
          <w:ilvl w:val="0"/>
          <w:numId w:val="11"/>
        </w:numPr>
        <w:tabs>
          <w:tab w:val="clear" w:pos="0"/>
        </w:tabs>
        <w:ind w:firstLineChars="200" w:firstLine="420"/>
        <w:rPr>
          <w:rFonts w:ascii="楷体" w:eastAsia="楷体" w:hAnsi="楷体"/>
          <w:szCs w:val="21"/>
        </w:rPr>
      </w:pPr>
      <w:r>
        <w:rPr>
          <w:rFonts w:ascii="楷体" w:eastAsia="楷体" w:hAnsi="楷体" w:hint="eastAsia"/>
          <w:szCs w:val="21"/>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rsidR="00662B66" w:rsidRDefault="00662B66" w:rsidP="00662B66">
      <w:pPr>
        <w:numPr>
          <w:ilvl w:val="0"/>
          <w:numId w:val="10"/>
        </w:numPr>
        <w:tabs>
          <w:tab w:val="clear" w:pos="0"/>
          <w:tab w:val="left" w:pos="993"/>
        </w:tabs>
        <w:ind w:left="0" w:firstLineChars="200" w:firstLine="420"/>
        <w:outlineLvl w:val="2"/>
        <w:rPr>
          <w:rFonts w:ascii="楷体" w:eastAsia="楷体" w:hAnsi="楷体" w:cs="Calibri"/>
          <w:bCs/>
          <w:szCs w:val="21"/>
        </w:rPr>
      </w:pPr>
      <w:r>
        <w:rPr>
          <w:rFonts w:ascii="楷体" w:eastAsia="楷体" w:hAnsi="楷体" w:cs="Calibri" w:hint="eastAsia"/>
          <w:bCs/>
          <w:szCs w:val="21"/>
        </w:rPr>
        <w:t>投资限制</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本理财产品投资于单只证券或单只公募证券投资基金的市值不超过本产品净资产的10%。</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管理人全部产品持有单一上市公司发行的股票，不得超过该上市公司可流通股票的30%。</w:t>
      </w:r>
    </w:p>
    <w:p w:rsidR="00662B66" w:rsidRDefault="00662B66" w:rsidP="00662B66">
      <w:pPr>
        <w:ind w:firstLineChars="200" w:firstLine="420"/>
      </w:pPr>
      <w:r>
        <w:rPr>
          <w:rFonts w:ascii="楷体" w:eastAsia="楷体" w:hAnsi="楷体" w:hint="eastAsia"/>
          <w:szCs w:val="21"/>
        </w:rPr>
        <w:t>针对上述第1、2、3项，非因管理人主观因素致使不符合前述比例限制的，管理人将在流动性受限资产可出售、可转让或者恢复交易的10个交易日内调整至符合相关要求。</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本理财产品杠杆率不超过140%。</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本理财产品在开放日及开放日前7个工作日内持有不低于产品资产净值5%的现金或者到期日在一年以内的国债、中央银行票据和政策性金融债券。</w:t>
      </w:r>
    </w:p>
    <w:p w:rsidR="00662B66" w:rsidRDefault="00662B66" w:rsidP="00662B66">
      <w:pPr>
        <w:numPr>
          <w:ilvl w:val="0"/>
          <w:numId w:val="12"/>
        </w:numPr>
        <w:ind w:firstLineChars="200" w:firstLine="420"/>
        <w:rPr>
          <w:rFonts w:ascii="楷体" w:eastAsia="楷体" w:hAnsi="楷体"/>
          <w:szCs w:val="21"/>
        </w:rPr>
      </w:pPr>
      <w:r>
        <w:rPr>
          <w:rFonts w:ascii="楷体" w:eastAsia="楷体" w:hAnsi="楷体" w:hint="eastAsia"/>
          <w:szCs w:val="21"/>
        </w:rPr>
        <w:t>本理财产品直接投资于流动性受限资产的市值在开放日不得超过本产品净资产的15%。因证券市场波动、理财产品规模变动等因素导致不符合前述比例限制的，本理财产品不得主动新增投资流动性受限资产。</w:t>
      </w:r>
    </w:p>
    <w:p w:rsidR="00662B66" w:rsidRDefault="00662B66" w:rsidP="00662B66">
      <w:pPr>
        <w:numPr>
          <w:ilvl w:val="0"/>
          <w:numId w:val="12"/>
        </w:numPr>
        <w:ind w:firstLineChars="200" w:firstLine="420"/>
        <w:rPr>
          <w:rFonts w:ascii="楷体" w:eastAsia="楷体" w:hAnsi="楷体" w:cs="楷体"/>
          <w:szCs w:val="21"/>
        </w:rPr>
      </w:pPr>
      <w:r>
        <w:rPr>
          <w:rFonts w:ascii="楷体" w:eastAsia="楷体" w:hAnsi="楷体" w:hint="eastAsia"/>
          <w:szCs w:val="21"/>
        </w:rPr>
        <w:t>在开放</w:t>
      </w:r>
      <w:r>
        <w:rPr>
          <w:rFonts w:ascii="楷体" w:eastAsia="楷体" w:hAnsi="楷体" w:cs="楷体" w:hint="eastAsia"/>
          <w:szCs w:val="21"/>
        </w:rPr>
        <w:t>日前</w:t>
      </w:r>
      <w:proofErr w:type="gramStart"/>
      <w:r>
        <w:rPr>
          <w:rFonts w:ascii="楷体" w:eastAsia="楷体" w:hAnsi="楷体" w:cs="楷体" w:hint="eastAsia"/>
          <w:szCs w:val="21"/>
        </w:rPr>
        <w:t>一</w:t>
      </w:r>
      <w:proofErr w:type="gramEnd"/>
      <w:r>
        <w:rPr>
          <w:rFonts w:ascii="楷体" w:eastAsia="楷体" w:hAnsi="楷体" w:cs="楷体" w:hint="eastAsia"/>
          <w:szCs w:val="21"/>
        </w:rPr>
        <w:t>工作日内，本理财产品7个工作日可变现资产的可变现价</w:t>
      </w:r>
      <w:proofErr w:type="gramStart"/>
      <w:r>
        <w:rPr>
          <w:rFonts w:ascii="楷体" w:eastAsia="楷体" w:hAnsi="楷体" w:cs="楷体" w:hint="eastAsia"/>
          <w:szCs w:val="21"/>
        </w:rPr>
        <w:t>值应当</w:t>
      </w:r>
      <w:proofErr w:type="gramEnd"/>
      <w:r>
        <w:rPr>
          <w:rFonts w:ascii="楷体" w:eastAsia="楷体" w:hAnsi="楷体" w:cs="楷体" w:hint="eastAsia"/>
          <w:szCs w:val="21"/>
        </w:rPr>
        <w:t>不低于本产品净资产的10%。</w:t>
      </w:r>
    </w:p>
    <w:p w:rsidR="00662B66" w:rsidRDefault="00662B66" w:rsidP="00662B66">
      <w:pPr>
        <w:numPr>
          <w:ilvl w:val="0"/>
          <w:numId w:val="12"/>
        </w:numPr>
        <w:ind w:firstLineChars="200" w:firstLine="420"/>
        <w:rPr>
          <w:rFonts w:ascii="楷体" w:eastAsia="楷体" w:hAnsi="楷体" w:cs="楷体"/>
          <w:szCs w:val="21"/>
        </w:rPr>
      </w:pPr>
      <w:r>
        <w:rPr>
          <w:rFonts w:ascii="楷体" w:eastAsia="楷体" w:hAnsi="楷体" w:cs="楷体" w:hint="eastAsia"/>
          <w:szCs w:val="21"/>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rsidR="00662B66" w:rsidRDefault="00662B66" w:rsidP="00662B66">
      <w:pPr>
        <w:numPr>
          <w:ilvl w:val="0"/>
          <w:numId w:val="10"/>
        </w:numPr>
        <w:tabs>
          <w:tab w:val="clear" w:pos="0"/>
          <w:tab w:val="left" w:pos="993"/>
        </w:tabs>
        <w:ind w:left="0" w:firstLineChars="200" w:firstLine="420"/>
        <w:outlineLvl w:val="2"/>
        <w:rPr>
          <w:rFonts w:ascii="楷体" w:eastAsia="楷体" w:hAnsi="楷体" w:cs="Calibri"/>
          <w:bCs/>
          <w:szCs w:val="21"/>
        </w:rPr>
      </w:pPr>
      <w:r>
        <w:rPr>
          <w:rFonts w:ascii="楷体" w:eastAsia="楷体" w:hAnsi="楷体" w:cs="Calibri" w:hint="eastAsia"/>
          <w:bCs/>
          <w:szCs w:val="21"/>
        </w:rPr>
        <w:t>投资管理调整</w:t>
      </w:r>
    </w:p>
    <w:p w:rsidR="00662B66" w:rsidRDefault="00662B66" w:rsidP="00662B66">
      <w:pPr>
        <w:pStyle w:val="a0"/>
        <w:spacing w:before="0"/>
        <w:ind w:left="0" w:firstLineChars="200" w:firstLine="420"/>
        <w:jc w:val="both"/>
        <w:rPr>
          <w:rFonts w:ascii="楷体" w:eastAsia="楷体" w:hAnsi="楷体"/>
          <w:kern w:val="2"/>
          <w:sz w:val="21"/>
        </w:rPr>
      </w:pPr>
      <w:proofErr w:type="gramStart"/>
      <w:r>
        <w:rPr>
          <w:rFonts w:ascii="楷体" w:eastAsia="楷体" w:hAnsi="楷体" w:hint="eastAsia"/>
          <w:kern w:val="2"/>
          <w:sz w:val="21"/>
        </w:rPr>
        <w:t>若法律</w:t>
      </w:r>
      <w:proofErr w:type="gramEnd"/>
      <w:r>
        <w:rPr>
          <w:rFonts w:ascii="楷体" w:eastAsia="楷体" w:hAnsi="楷体" w:hint="eastAsia"/>
          <w:kern w:val="2"/>
          <w:sz w:val="21"/>
        </w:rPr>
        <w:t>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rsidR="00662B66" w:rsidRDefault="00662B66" w:rsidP="00662B66">
      <w:pPr>
        <w:ind w:firstLineChars="200" w:firstLine="420"/>
      </w:pPr>
      <w:r>
        <w:rPr>
          <w:rFonts w:ascii="楷体" w:eastAsia="楷体" w:hAnsi="楷体" w:cs="楷体" w:hint="eastAsia"/>
          <w:szCs w:val="21"/>
        </w:rPr>
        <w:t>如监管有最新规定的，可参照监管规定执行。</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产品认购</w:t>
      </w:r>
    </w:p>
    <w:p w:rsidR="00662B66" w:rsidRDefault="00662B66" w:rsidP="00662B66">
      <w:pPr>
        <w:numPr>
          <w:ilvl w:val="0"/>
          <w:numId w:val="13"/>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认购方式及确认</w:t>
      </w:r>
    </w:p>
    <w:p w:rsidR="00662B66" w:rsidRDefault="00662B66" w:rsidP="00662B66">
      <w:pPr>
        <w:ind w:firstLineChars="200" w:firstLine="420"/>
        <w:rPr>
          <w:rFonts w:ascii="楷体" w:eastAsia="楷体" w:hAnsi="楷体" w:cs="Calibri"/>
          <w:szCs w:val="21"/>
        </w:rPr>
      </w:pPr>
      <w:r>
        <w:rPr>
          <w:rFonts w:ascii="楷体" w:eastAsia="楷体" w:hAnsi="楷体" w:cs="Calibri" w:hint="eastAsia"/>
          <w:szCs w:val="21"/>
        </w:rPr>
        <w:t>本理财产品可在各销售机构指定渠道进行认购，投资者按规定提交认购申请，管理人在份额登记日对投资者的认购申请成功登记后并收到投资者全额交付的款项，视为投资者的认购申请生效。投资者应在理</w:t>
      </w:r>
      <w:r>
        <w:rPr>
          <w:rFonts w:ascii="楷体" w:eastAsia="楷体" w:hAnsi="楷体" w:cs="Calibri" w:hint="eastAsia"/>
          <w:szCs w:val="21"/>
        </w:rPr>
        <w:lastRenderedPageBreak/>
        <w:t>财产品成立后及时查询最终的成交情况。</w:t>
      </w:r>
      <w:r>
        <w:rPr>
          <w:rFonts w:ascii="楷体" w:eastAsia="楷体" w:hAnsi="楷体" w:hint="eastAsia"/>
          <w:szCs w:val="21"/>
        </w:rPr>
        <w:t>因投资者资金账户余额不足、司法冻结、不可抗力因素或其他不可归责于管理人和销售机构的事由出现，造成认购申请未被确认的，管理人和销售机构不承担任何责任。</w:t>
      </w:r>
    </w:p>
    <w:p w:rsidR="00662B66" w:rsidRDefault="00662B66" w:rsidP="00662B66">
      <w:pPr>
        <w:numPr>
          <w:ilvl w:val="0"/>
          <w:numId w:val="13"/>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认购份额的计算</w:t>
      </w:r>
    </w:p>
    <w:p w:rsidR="00662B66" w:rsidRDefault="00662B66" w:rsidP="00662B66">
      <w:pPr>
        <w:ind w:firstLineChars="200" w:firstLine="420"/>
      </w:pPr>
      <w:r>
        <w:rPr>
          <w:rFonts w:ascii="楷体" w:eastAsia="楷体" w:hAnsi="楷体"/>
          <w:szCs w:val="21"/>
        </w:rPr>
        <w:t>认购份额=</w:t>
      </w:r>
      <w:r>
        <w:rPr>
          <w:rFonts w:ascii="楷体" w:eastAsia="楷体" w:hAnsi="楷体" w:hint="eastAsia"/>
          <w:szCs w:val="21"/>
        </w:rPr>
        <w:t>认购金额</w:t>
      </w:r>
      <w:r>
        <w:rPr>
          <w:rFonts w:ascii="楷体" w:eastAsia="楷体" w:hAnsi="楷体"/>
          <w:szCs w:val="21"/>
        </w:rPr>
        <w:t>/</w:t>
      </w:r>
      <w:r>
        <w:rPr>
          <w:rFonts w:ascii="楷体" w:eastAsia="楷体" w:hAnsi="楷体" w:hint="eastAsia"/>
          <w:szCs w:val="21"/>
        </w:rPr>
        <w:t>产品份额面值，</w:t>
      </w:r>
      <w:r>
        <w:rPr>
          <w:rFonts w:ascii="楷体" w:eastAsia="楷体" w:hAnsi="楷体"/>
          <w:szCs w:val="21"/>
        </w:rPr>
        <w:t>认购份额</w:t>
      </w:r>
      <w:r>
        <w:rPr>
          <w:rFonts w:ascii="楷体" w:eastAsia="楷体" w:hAnsi="楷体" w:hint="eastAsia"/>
          <w:szCs w:val="21"/>
        </w:rPr>
        <w:t>以四舍五入的方法保留到小数点后两位。</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产品申购、赎回</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开放计划</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bCs/>
          <w:szCs w:val="21"/>
        </w:rPr>
        <w:t>本产品封闭运作期结束后，按开放日接受投资者的申购/赎回申请，每个交易日为产品开放日（T日）</w:t>
      </w:r>
      <w:r>
        <w:rPr>
          <w:rFonts w:ascii="楷体" w:eastAsia="楷体" w:hAnsi="楷体" w:cs="Calibri" w:hint="eastAsia"/>
          <w:szCs w:val="21"/>
        </w:rPr>
        <w:t>。开放日闭市前的申购/赎回申请当日受理，闭市后的申购/赎回申请为预受理，视同下一开放日申请。投资者提交的申购/赎回申请可以在产品开放日闭市前撤销，之后不得撤销。（</w:t>
      </w:r>
      <w:r>
        <w:rPr>
          <w:rFonts w:ascii="楷体" w:eastAsia="楷体" w:hAnsi="楷体" w:cs="Calibri" w:hint="eastAsia"/>
          <w:bCs/>
          <w:szCs w:val="21"/>
        </w:rPr>
        <w:t>开放日闭市时间为17:00，具体以各销售机构设置为准</w:t>
      </w:r>
      <w:r>
        <w:rPr>
          <w:rFonts w:ascii="楷体" w:eastAsia="楷体" w:hAnsi="楷体" w:cs="Calibri" w:hint="eastAsia"/>
          <w:szCs w:val="21"/>
        </w:rPr>
        <w:t>）</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申购、赎回的规则</w:t>
      </w:r>
    </w:p>
    <w:p w:rsidR="00662B66" w:rsidRDefault="00662B66" w:rsidP="00662B66">
      <w:pPr>
        <w:numPr>
          <w:ilvl w:val="0"/>
          <w:numId w:val="15"/>
        </w:numPr>
        <w:tabs>
          <w:tab w:val="left" w:pos="728"/>
        </w:tabs>
        <w:ind w:left="0" w:firstLineChars="200" w:firstLine="420"/>
        <w:rPr>
          <w:rFonts w:ascii="楷体" w:eastAsia="楷体" w:hAnsi="楷体" w:cs="Calibri"/>
          <w:szCs w:val="21"/>
        </w:rPr>
      </w:pPr>
      <w:r>
        <w:rPr>
          <w:rFonts w:ascii="楷体" w:eastAsia="楷体" w:hAnsi="楷体" w:cs="Calibri" w:hint="eastAsia"/>
          <w:szCs w:val="21"/>
        </w:rPr>
        <w:t>申购、赎回的原则：投资者必须</w:t>
      </w:r>
      <w:r>
        <w:rPr>
          <w:rFonts w:ascii="楷体" w:eastAsia="楷体" w:hAnsi="楷体" w:cs="Calibri" w:hint="eastAsia"/>
          <w:bCs/>
          <w:szCs w:val="21"/>
        </w:rPr>
        <w:t>在产品开放计划内</w:t>
      </w:r>
      <w:r>
        <w:rPr>
          <w:rFonts w:ascii="楷体" w:eastAsia="楷体" w:hAnsi="楷体" w:cs="Calibri" w:hint="eastAsia"/>
          <w:szCs w:val="21"/>
        </w:rPr>
        <w:t>提出申购、赎回申请，采用金额申购、份额赎回的原则，即申购以金额申请，赎回以份额申请。投资者提出申购申请时，须备足购买资金；投资者提出赎回申请时，须有足够的理财产品份额余额。</w:t>
      </w:r>
    </w:p>
    <w:p w:rsidR="00662B66" w:rsidRDefault="00662B66" w:rsidP="00662B66">
      <w:pPr>
        <w:numPr>
          <w:ilvl w:val="0"/>
          <w:numId w:val="15"/>
        </w:numPr>
        <w:tabs>
          <w:tab w:val="left" w:pos="728"/>
        </w:tabs>
        <w:ind w:left="0" w:firstLineChars="200" w:firstLine="420"/>
        <w:rPr>
          <w:rFonts w:ascii="楷体" w:eastAsia="楷体" w:hAnsi="楷体" w:cs="Calibri"/>
          <w:szCs w:val="21"/>
        </w:rPr>
      </w:pPr>
      <w:r>
        <w:rPr>
          <w:rFonts w:ascii="楷体" w:eastAsia="楷体" w:hAnsi="楷体" w:cs="Calibri" w:hint="eastAsia"/>
          <w:szCs w:val="21"/>
        </w:rPr>
        <w:t>申购、赎回的确认：投资者申购/赎回本产品时采用“未知价”原则，投资者</w:t>
      </w:r>
      <w:r>
        <w:rPr>
          <w:rFonts w:ascii="楷体" w:eastAsia="楷体" w:hAnsi="楷体" w:cs="Calibri" w:hint="eastAsia"/>
          <w:bCs/>
          <w:szCs w:val="21"/>
        </w:rPr>
        <w:t>在开放计划内</w:t>
      </w:r>
      <w:r>
        <w:rPr>
          <w:rFonts w:ascii="楷体" w:eastAsia="楷体" w:hAnsi="楷体" w:cs="Calibri" w:hint="eastAsia"/>
          <w:szCs w:val="21"/>
        </w:rPr>
        <w:t>通过销售机构提出的申购/赎回申请，管理人于T+1日按开放</w:t>
      </w:r>
      <w:proofErr w:type="gramStart"/>
      <w:r>
        <w:rPr>
          <w:rFonts w:ascii="楷体" w:eastAsia="楷体" w:hAnsi="楷体" w:cs="Calibri" w:hint="eastAsia"/>
          <w:szCs w:val="21"/>
        </w:rPr>
        <w:t>日单位</w:t>
      </w:r>
      <w:proofErr w:type="gramEnd"/>
      <w:r>
        <w:rPr>
          <w:rFonts w:ascii="楷体" w:eastAsia="楷体" w:hAnsi="楷体" w:cs="Calibri" w:hint="eastAsia"/>
          <w:szCs w:val="21"/>
        </w:rPr>
        <w:t>净值对申购/赎回申请予以统一确认。</w:t>
      </w:r>
    </w:p>
    <w:p w:rsidR="00662B66" w:rsidRDefault="00662B66" w:rsidP="00662B66">
      <w:pPr>
        <w:ind w:firstLineChars="200" w:firstLine="420"/>
        <w:rPr>
          <w:rFonts w:ascii="楷体" w:eastAsia="楷体" w:hAnsi="楷体"/>
          <w:szCs w:val="21"/>
        </w:rPr>
      </w:pPr>
      <w:r>
        <w:rPr>
          <w:rFonts w:ascii="楷体" w:eastAsia="楷体" w:hAnsi="楷体" w:cs="Calibri" w:hint="eastAsia"/>
          <w:szCs w:val="21"/>
        </w:rPr>
        <w:t>管理人在份额登记日对投资者的</w:t>
      </w:r>
      <w:r>
        <w:rPr>
          <w:rFonts w:ascii="楷体" w:eastAsia="楷体" w:hAnsi="楷体" w:hint="eastAsia"/>
          <w:szCs w:val="21"/>
        </w:rPr>
        <w:t>申购</w:t>
      </w:r>
      <w:r>
        <w:rPr>
          <w:rFonts w:ascii="楷体" w:eastAsia="楷体" w:hAnsi="楷体" w:cs="Calibri" w:hint="eastAsia"/>
          <w:szCs w:val="21"/>
        </w:rPr>
        <w:t>申请登记成功后并收到投资者全额交付的款项，视为投资者的</w:t>
      </w:r>
      <w:r>
        <w:rPr>
          <w:rFonts w:ascii="楷体" w:eastAsia="楷体" w:hAnsi="楷体" w:hint="eastAsia"/>
          <w:szCs w:val="21"/>
        </w:rPr>
        <w:t>申购</w:t>
      </w:r>
      <w:r>
        <w:rPr>
          <w:rFonts w:ascii="楷体" w:eastAsia="楷体" w:hAnsi="楷体" w:cs="Calibri" w:hint="eastAsia"/>
          <w:szCs w:val="21"/>
        </w:rPr>
        <w:t>申请生效。投资者应在</w:t>
      </w:r>
      <w:r>
        <w:rPr>
          <w:rFonts w:ascii="楷体" w:eastAsia="楷体" w:hAnsi="楷体" w:hint="eastAsia"/>
          <w:szCs w:val="21"/>
        </w:rPr>
        <w:t>开放日后</w:t>
      </w:r>
      <w:r>
        <w:rPr>
          <w:rFonts w:ascii="楷体" w:eastAsia="楷体" w:hAnsi="楷体" w:cs="Calibri" w:hint="eastAsia"/>
          <w:szCs w:val="21"/>
        </w:rPr>
        <w:t>及时查询最终的成交情况以及</w:t>
      </w:r>
      <w:r>
        <w:rPr>
          <w:rFonts w:ascii="楷体" w:eastAsia="楷体" w:hAnsi="楷体" w:hint="eastAsia"/>
          <w:szCs w:val="21"/>
        </w:rPr>
        <w:t>申购</w:t>
      </w:r>
      <w:r>
        <w:rPr>
          <w:rFonts w:ascii="楷体" w:eastAsia="楷体" w:hAnsi="楷体" w:cs="Calibri" w:hint="eastAsia"/>
          <w:szCs w:val="21"/>
        </w:rPr>
        <w:t>的份额。</w:t>
      </w:r>
      <w:r>
        <w:rPr>
          <w:rFonts w:ascii="楷体" w:eastAsia="楷体" w:hAnsi="楷体" w:hint="eastAsia"/>
          <w:szCs w:val="21"/>
        </w:rPr>
        <w:t>因投资者资金账户余额不足、司法冻结、不可抗力因素或其他不可归责于管理人和销售机构的事由出现，造成申购</w:t>
      </w:r>
      <w:r>
        <w:rPr>
          <w:rFonts w:ascii="楷体" w:eastAsia="楷体" w:hAnsi="楷体" w:cs="Calibri" w:hint="eastAsia"/>
          <w:szCs w:val="21"/>
        </w:rPr>
        <w:t>申请</w:t>
      </w:r>
      <w:r>
        <w:rPr>
          <w:rFonts w:ascii="楷体" w:eastAsia="楷体" w:hAnsi="楷体" w:hint="eastAsia"/>
          <w:szCs w:val="21"/>
        </w:rPr>
        <w:t>未被确认的，管理人和销售机构不承担任何责任。</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投资者赎回资金将在确认日后4个工作日内到达投资者资金账户。</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申购份额的计算</w:t>
      </w:r>
    </w:p>
    <w:p w:rsidR="00662B66" w:rsidRDefault="00662B66" w:rsidP="00662B66">
      <w:pPr>
        <w:ind w:firstLineChars="200" w:firstLine="420"/>
        <w:rPr>
          <w:rFonts w:ascii="楷体" w:eastAsia="楷体" w:hAnsi="楷体"/>
          <w:szCs w:val="21"/>
        </w:rPr>
      </w:pPr>
      <w:r>
        <w:rPr>
          <w:rFonts w:ascii="楷体" w:eastAsia="楷体" w:hAnsi="楷体" w:hint="eastAsia"/>
          <w:szCs w:val="21"/>
        </w:rPr>
        <w:t>申购份额=申购金额/开放日产</w:t>
      </w:r>
      <w:proofErr w:type="gramStart"/>
      <w:r>
        <w:rPr>
          <w:rFonts w:ascii="楷体" w:eastAsia="楷体" w:hAnsi="楷体" w:hint="eastAsia"/>
          <w:szCs w:val="21"/>
        </w:rPr>
        <w:t>品单位</w:t>
      </w:r>
      <w:proofErr w:type="gramEnd"/>
      <w:r>
        <w:rPr>
          <w:rFonts w:ascii="楷体" w:eastAsia="楷体" w:hAnsi="楷体" w:hint="eastAsia"/>
          <w:szCs w:val="21"/>
        </w:rPr>
        <w:t>净值，申购份额以四舍五入的方法保留到小数点后两位。</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赎回金额的计算</w:t>
      </w:r>
    </w:p>
    <w:p w:rsidR="00662B66" w:rsidRDefault="00662B66" w:rsidP="00662B66">
      <w:pPr>
        <w:ind w:firstLineChars="200" w:firstLine="420"/>
        <w:rPr>
          <w:rFonts w:ascii="楷体" w:eastAsia="楷体" w:hAnsi="楷体"/>
          <w:szCs w:val="21"/>
        </w:rPr>
      </w:pPr>
      <w:r>
        <w:rPr>
          <w:rFonts w:ascii="楷体" w:eastAsia="楷体" w:hAnsi="楷体" w:hint="eastAsia"/>
          <w:szCs w:val="21"/>
        </w:rPr>
        <w:t>赎回金额=赎回份额*开放日产</w:t>
      </w:r>
      <w:proofErr w:type="gramStart"/>
      <w:r>
        <w:rPr>
          <w:rFonts w:ascii="楷体" w:eastAsia="楷体" w:hAnsi="楷体" w:hint="eastAsia"/>
          <w:szCs w:val="21"/>
        </w:rPr>
        <w:t>品单位</w:t>
      </w:r>
      <w:proofErr w:type="gramEnd"/>
      <w:r>
        <w:rPr>
          <w:rFonts w:ascii="楷体" w:eastAsia="楷体" w:hAnsi="楷体" w:hint="eastAsia"/>
          <w:szCs w:val="21"/>
        </w:rPr>
        <w:t>净值-超额业绩报酬（如有），赎回金额以四舍五入的方法保留到小数点后两位。</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巨额赎回：详见“产品要素”。</w:t>
      </w:r>
    </w:p>
    <w:p w:rsidR="00662B66" w:rsidRDefault="00662B66" w:rsidP="00662B66">
      <w:pPr>
        <w:numPr>
          <w:ilvl w:val="0"/>
          <w:numId w:val="14"/>
        </w:numPr>
        <w:tabs>
          <w:tab w:val="clear" w:pos="0"/>
          <w:tab w:val="left" w:pos="993"/>
        </w:tabs>
        <w:ind w:firstLineChars="200" w:firstLine="420"/>
        <w:outlineLvl w:val="2"/>
        <w:rPr>
          <w:rFonts w:ascii="楷体" w:eastAsia="楷体" w:hAnsi="楷体" w:cs="Calibri"/>
          <w:bCs/>
          <w:szCs w:val="21"/>
        </w:rPr>
      </w:pPr>
      <w:r>
        <w:rPr>
          <w:rFonts w:ascii="楷体" w:eastAsia="楷体" w:hAnsi="楷体" w:cs="Calibri" w:hint="eastAsia"/>
          <w:bCs/>
          <w:szCs w:val="21"/>
        </w:rPr>
        <w:t>特殊情形及处理</w:t>
      </w:r>
    </w:p>
    <w:p w:rsidR="00662B66" w:rsidRDefault="00662B66" w:rsidP="00662B66">
      <w:pPr>
        <w:ind w:firstLineChars="200" w:firstLine="420"/>
        <w:rPr>
          <w:rFonts w:ascii="楷体" w:eastAsia="楷体" w:hAnsi="楷体"/>
          <w:szCs w:val="21"/>
        </w:rPr>
      </w:pPr>
      <w:r>
        <w:rPr>
          <w:rFonts w:ascii="楷体" w:eastAsia="楷体" w:hAnsi="楷体"/>
          <w:szCs w:val="21"/>
        </w:rPr>
        <w:t>1.</w:t>
      </w:r>
      <w:r>
        <w:rPr>
          <w:rFonts w:ascii="楷体" w:eastAsia="楷体" w:hAnsi="楷体" w:hint="eastAsia"/>
          <w:szCs w:val="21"/>
        </w:rPr>
        <w:t>除以下情形外，管理人不得拒绝接受或暂停接受投资者的申购申请：</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szCs w:val="21"/>
        </w:rPr>
        <w:t>（1）不可抗力的原因导致产品无法正常运作；（2）超出产品单一投资者持有上限；（3）发生《理财产品说明书》约定的暂停估值的情形；（4）管理人接受某笔或者某些申购申请有可能导致单一投资者持有理财产品份额的比例达到或者超过50%的情形；（5）当接受某笔或某些申购申请可能对存量理财产品份额持有人利益构成潜在重大不利影响时；（6）法律、法规规定认定的其他情形。</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rsidR="00662B66" w:rsidRDefault="00662B66" w:rsidP="00662B66">
      <w:pPr>
        <w:ind w:firstLineChars="200" w:firstLine="420"/>
        <w:rPr>
          <w:rFonts w:ascii="楷体" w:eastAsia="楷体" w:hAnsi="楷体"/>
          <w:szCs w:val="21"/>
        </w:rPr>
      </w:pPr>
      <w:r>
        <w:rPr>
          <w:rFonts w:ascii="楷体" w:eastAsia="楷体" w:hAnsi="楷体"/>
          <w:szCs w:val="21"/>
        </w:rPr>
        <w:t>2.</w:t>
      </w:r>
      <w:r>
        <w:rPr>
          <w:rFonts w:ascii="楷体" w:eastAsia="楷体" w:hAnsi="楷体" w:hint="eastAsia"/>
          <w:szCs w:val="21"/>
        </w:rPr>
        <w:t>除以下情形外，管理人不得暂停接受投资者的赎回申请或延缓支付赎回款项：</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szCs w:val="21"/>
        </w:rPr>
        <w:t>（1）不可抗力的原因导致管理人不能支付赎回款项；（2）触发巨额赎回条款；（3）发生《理财产品说明书》约定的暂停估值的情形；（4）当接受某笔或某些赎回申请可能对存量理财产品份额持有人利益构成潜在重大不利影响时；（5）法律、法规规定认定的其他情形。</w:t>
      </w:r>
    </w:p>
    <w:p w:rsidR="00662B66" w:rsidRDefault="00662B66" w:rsidP="00662B66">
      <w:pPr>
        <w:tabs>
          <w:tab w:val="left" w:pos="728"/>
        </w:tabs>
        <w:ind w:firstLineChars="200" w:firstLine="420"/>
        <w:rPr>
          <w:rFonts w:ascii="楷体" w:eastAsia="楷体" w:hAnsi="楷体" w:cs="Calibri"/>
          <w:szCs w:val="21"/>
        </w:rPr>
      </w:pPr>
      <w:r>
        <w:rPr>
          <w:rFonts w:ascii="楷体" w:eastAsia="楷体" w:hAnsi="楷体" w:cs="Calibri" w:hint="eastAsia"/>
          <w:szCs w:val="21"/>
        </w:rPr>
        <w:t>若管理人决定</w:t>
      </w:r>
      <w:r>
        <w:rPr>
          <w:rFonts w:ascii="楷体" w:eastAsia="楷体" w:hAnsi="楷体" w:hint="eastAsia"/>
          <w:szCs w:val="21"/>
        </w:rPr>
        <w:t>暂停接受投资者的赎回申请或延缓支付赎回款项</w:t>
      </w:r>
      <w:r>
        <w:rPr>
          <w:rFonts w:ascii="楷体" w:eastAsia="楷体" w:hAnsi="楷体" w:cs="Calibri" w:hint="eastAsia"/>
          <w:szCs w:val="21"/>
        </w:rPr>
        <w:t>，则将会在3个交易日内根据《理财产品说明书》约定的信息披露方式向投资者进行信息披露。若投资者的全部或部分赎回申请被拒绝，投资者可将当日未能受理部分予以撤销。在上述</w:t>
      </w:r>
      <w:r>
        <w:rPr>
          <w:rFonts w:ascii="楷体" w:eastAsia="楷体" w:hAnsi="楷体" w:hint="eastAsia"/>
          <w:szCs w:val="21"/>
        </w:rPr>
        <w:t>暂停接受投资者的赎回申请或延缓支付赎回款项的情况消除后</w:t>
      </w:r>
      <w:r>
        <w:rPr>
          <w:rFonts w:ascii="楷体" w:eastAsia="楷体" w:hAnsi="楷体" w:cs="Calibri" w:hint="eastAsia"/>
          <w:szCs w:val="21"/>
        </w:rPr>
        <w:t>，管理人将及时恢复赎回业务的办理。</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lastRenderedPageBreak/>
        <w:t>产品终止</w:t>
      </w:r>
    </w:p>
    <w:p w:rsidR="00662B66" w:rsidRDefault="00662B66" w:rsidP="00662B66">
      <w:pPr>
        <w:numPr>
          <w:ilvl w:val="0"/>
          <w:numId w:val="16"/>
        </w:numPr>
        <w:tabs>
          <w:tab w:val="clear" w:pos="0"/>
          <w:tab w:val="left" w:pos="993"/>
        </w:tabs>
        <w:ind w:left="0" w:firstLineChars="200" w:firstLine="420"/>
        <w:rPr>
          <w:rFonts w:ascii="楷体" w:eastAsia="楷体" w:hAnsi="楷体" w:cs="楷体"/>
          <w:szCs w:val="21"/>
        </w:rPr>
      </w:pPr>
      <w:r>
        <w:rPr>
          <w:rFonts w:ascii="楷体" w:eastAsia="楷体" w:hAnsi="楷体" w:cs="楷体" w:hint="eastAsia"/>
          <w:szCs w:val="21"/>
        </w:rPr>
        <w:t>提前终止</w:t>
      </w:r>
    </w:p>
    <w:p w:rsidR="00662B66" w:rsidRDefault="00662B66" w:rsidP="00662B66">
      <w:pPr>
        <w:ind w:firstLineChars="200" w:firstLine="420"/>
        <w:rPr>
          <w:rFonts w:ascii="楷体" w:eastAsia="楷体" w:hAnsi="楷体"/>
          <w:szCs w:val="21"/>
        </w:rPr>
      </w:pPr>
      <w:r>
        <w:rPr>
          <w:rFonts w:ascii="楷体" w:eastAsia="楷体" w:hAnsi="楷体" w:cs="Calibri" w:hint="eastAsia"/>
          <w:szCs w:val="21"/>
        </w:rPr>
        <w:t>在理财产品投资运作期间内，投资者无权要求提前终止该理财产品。在理财产品投资运作期间内，包括但不限于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ascii="楷体" w:eastAsia="楷体" w:hAnsi="楷体" w:hint="eastAsia"/>
          <w:szCs w:val="21"/>
        </w:rPr>
        <w:t>如理财产品管理人提前终止本理财产品，将至少提前2个工作日（含）按说明书约定的信息披露方式予以披露，明确产品终止日。</w:t>
      </w:r>
    </w:p>
    <w:p w:rsidR="00662B66" w:rsidRDefault="00662B66" w:rsidP="00662B66">
      <w:pPr>
        <w:numPr>
          <w:ilvl w:val="0"/>
          <w:numId w:val="16"/>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正常终止</w:t>
      </w:r>
    </w:p>
    <w:p w:rsidR="00662B66" w:rsidRDefault="00662B66" w:rsidP="00662B66">
      <w:pPr>
        <w:ind w:firstLineChars="200" w:firstLine="420"/>
        <w:rPr>
          <w:rFonts w:ascii="楷体" w:eastAsia="楷体" w:hAnsi="楷体" w:cs="Calibri"/>
          <w:szCs w:val="21"/>
        </w:rPr>
      </w:pPr>
      <w:r>
        <w:rPr>
          <w:rFonts w:ascii="楷体" w:eastAsia="楷体" w:hAnsi="楷体" w:cs="Calibri" w:hint="eastAsia"/>
          <w:szCs w:val="21"/>
        </w:rPr>
        <w:t>投资者持有本理财产品</w:t>
      </w:r>
      <w:proofErr w:type="gramStart"/>
      <w:r>
        <w:rPr>
          <w:rFonts w:ascii="楷体" w:eastAsia="楷体" w:hAnsi="楷体" w:cs="Calibri" w:hint="eastAsia"/>
          <w:szCs w:val="21"/>
        </w:rPr>
        <w:t>至产品</w:t>
      </w:r>
      <w:proofErr w:type="gramEnd"/>
      <w:r>
        <w:rPr>
          <w:rFonts w:ascii="楷体" w:eastAsia="楷体" w:hAnsi="楷体" w:cs="Calibri" w:hint="eastAsia"/>
          <w:szCs w:val="21"/>
        </w:rPr>
        <w:t>到期日，投资者的投资本金和收益（如有）将在产品到期后一次性支付。</w:t>
      </w:r>
    </w:p>
    <w:p w:rsidR="00662B66" w:rsidRDefault="00662B66" w:rsidP="00662B66">
      <w:pPr>
        <w:numPr>
          <w:ilvl w:val="0"/>
          <w:numId w:val="16"/>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延期终止</w:t>
      </w:r>
    </w:p>
    <w:p w:rsidR="00662B66" w:rsidRDefault="00662B66" w:rsidP="00662B66">
      <w:pPr>
        <w:ind w:firstLineChars="200" w:firstLine="420"/>
        <w:rPr>
          <w:rFonts w:ascii="楷体" w:eastAsia="楷体" w:hAnsi="楷体" w:cs="Calibri"/>
          <w:szCs w:val="21"/>
        </w:rPr>
      </w:pPr>
      <w:r>
        <w:rPr>
          <w:rFonts w:ascii="楷体" w:eastAsia="楷体" w:hAnsi="楷体" w:cs="Calibri" w:hint="eastAsia"/>
          <w:szCs w:val="21"/>
        </w:rPr>
        <w:t>出现以下情况，产品管理人有权延长本理财产品的终止日：产品终止</w:t>
      </w:r>
      <w:proofErr w:type="gramStart"/>
      <w:r>
        <w:rPr>
          <w:rFonts w:ascii="楷体" w:eastAsia="楷体" w:hAnsi="楷体" w:cs="Calibri" w:hint="eastAsia"/>
          <w:szCs w:val="21"/>
        </w:rPr>
        <w:t>日遇非工作日</w:t>
      </w:r>
      <w:proofErr w:type="gramEnd"/>
      <w:r>
        <w:rPr>
          <w:rFonts w:ascii="楷体" w:eastAsia="楷体" w:hAnsi="楷体" w:cs="Calibri" w:hint="eastAsia"/>
          <w:szCs w:val="21"/>
        </w:rPr>
        <w:t>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rsidR="00662B66" w:rsidRDefault="00662B66" w:rsidP="00662B66">
      <w:pPr>
        <w:numPr>
          <w:ilvl w:val="0"/>
          <w:numId w:val="16"/>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投资者可得资金计算</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投资者可得资金=投资者持有份额×产品到期（终止）时单位净值-超额业绩报酬（如有），投资者可得资金以四舍五入的方法保留到小数点后两位。</w:t>
      </w:r>
    </w:p>
    <w:p w:rsidR="00662B66" w:rsidRDefault="00662B66" w:rsidP="00662B66">
      <w:pPr>
        <w:numPr>
          <w:ilvl w:val="0"/>
          <w:numId w:val="16"/>
        </w:numPr>
        <w:tabs>
          <w:tab w:val="clear" w:pos="0"/>
          <w:tab w:val="left" w:pos="993"/>
        </w:tabs>
        <w:ind w:left="0" w:firstLineChars="200" w:firstLine="420"/>
        <w:rPr>
          <w:rFonts w:ascii="楷体" w:eastAsia="楷体" w:hAnsi="楷体" w:cs="Calibri"/>
          <w:szCs w:val="21"/>
        </w:rPr>
      </w:pPr>
      <w:r>
        <w:rPr>
          <w:rFonts w:ascii="楷体" w:eastAsia="楷体" w:hAnsi="楷体" w:cs="Calibri" w:hint="eastAsia"/>
          <w:szCs w:val="21"/>
        </w:rPr>
        <w:t>终止清算</w:t>
      </w:r>
    </w:p>
    <w:p w:rsidR="00662B66" w:rsidRDefault="00662B66" w:rsidP="00662B66">
      <w:pPr>
        <w:ind w:firstLineChars="200" w:firstLine="420"/>
        <w:rPr>
          <w:rFonts w:ascii="楷体" w:eastAsia="楷体" w:hAnsi="楷体"/>
          <w:sz w:val="24"/>
          <w:szCs w:val="24"/>
        </w:rPr>
      </w:pPr>
      <w:r>
        <w:rPr>
          <w:rFonts w:ascii="楷体" w:eastAsia="楷体" w:hAnsi="楷体" w:cs="Calibri" w:hint="eastAsia"/>
          <w:szCs w:val="21"/>
        </w:rPr>
        <w:t>投资者的投资本金和收益（如有）将于产品到期日（产品终止日）后5个工作日以内划至投资者指定账户，</w:t>
      </w:r>
      <w:proofErr w:type="gramStart"/>
      <w:r>
        <w:rPr>
          <w:rFonts w:ascii="楷体" w:eastAsia="楷体" w:hAnsi="楷体" w:cs="Calibri" w:hint="eastAsia"/>
          <w:szCs w:val="21"/>
        </w:rPr>
        <w:t>如遇非工作日</w:t>
      </w:r>
      <w:proofErr w:type="gramEnd"/>
      <w:r>
        <w:rPr>
          <w:rFonts w:ascii="楷体" w:eastAsia="楷体" w:hAnsi="楷体" w:cs="Calibri" w:hint="eastAsia"/>
          <w:szCs w:val="21"/>
        </w:rPr>
        <w:t>则相应顺延。</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情景示例</w:t>
      </w:r>
    </w:p>
    <w:p w:rsidR="00662B66" w:rsidRDefault="00662B66" w:rsidP="00662B66">
      <w:pPr>
        <w:tabs>
          <w:tab w:val="left" w:pos="993"/>
        </w:tabs>
        <w:ind w:firstLineChars="200" w:firstLine="422"/>
        <w:rPr>
          <w:rFonts w:ascii="楷体" w:eastAsia="楷体" w:hAnsi="楷体" w:cs="Calibri"/>
          <w:b/>
          <w:szCs w:val="21"/>
          <w:u w:val="single"/>
        </w:rPr>
      </w:pPr>
      <w:r>
        <w:rPr>
          <w:rFonts w:ascii="楷体" w:eastAsia="楷体" w:hAnsi="楷体" w:cs="Calibri" w:hint="eastAsia"/>
          <w:b/>
          <w:szCs w:val="21"/>
          <w:u w:val="single"/>
        </w:rPr>
        <w:t>以下示例均为假设情况，不代表本产品实际投资业绩。</w:t>
      </w:r>
    </w:p>
    <w:p w:rsidR="00662B66" w:rsidRDefault="00662B66" w:rsidP="00662B66">
      <w:pPr>
        <w:numPr>
          <w:ilvl w:val="0"/>
          <w:numId w:val="17"/>
        </w:numPr>
        <w:tabs>
          <w:tab w:val="clear" w:pos="420"/>
          <w:tab w:val="left" w:pos="728"/>
        </w:tabs>
        <w:ind w:left="0" w:firstLineChars="200" w:firstLine="420"/>
        <w:outlineLvl w:val="2"/>
        <w:rPr>
          <w:rFonts w:ascii="楷体" w:eastAsia="楷体" w:hAnsi="楷体" w:cs="Calibri"/>
          <w:szCs w:val="21"/>
        </w:rPr>
      </w:pPr>
      <w:r>
        <w:rPr>
          <w:rFonts w:ascii="楷体" w:eastAsia="楷体" w:hAnsi="楷体" w:cs="Calibri" w:hint="eastAsia"/>
          <w:szCs w:val="21"/>
        </w:rPr>
        <w:t>情景一</w:t>
      </w:r>
    </w:p>
    <w:p w:rsidR="00662B66" w:rsidRDefault="00662B66" w:rsidP="00662B66">
      <w:pPr>
        <w:ind w:firstLineChars="200" w:firstLine="420"/>
        <w:rPr>
          <w:rFonts w:ascii="楷体" w:eastAsia="楷体" w:hAnsi="楷体"/>
          <w:szCs w:val="21"/>
        </w:rPr>
      </w:pPr>
      <w:r>
        <w:rPr>
          <w:rFonts w:ascii="楷体" w:eastAsia="楷体" w:hAnsi="楷体"/>
          <w:szCs w:val="21"/>
        </w:rPr>
        <w:t>假定投资者</w:t>
      </w:r>
      <w:r>
        <w:rPr>
          <w:rFonts w:ascii="楷体" w:eastAsia="楷体" w:hAnsi="楷体" w:hint="eastAsia"/>
          <w:szCs w:val="21"/>
        </w:rPr>
        <w:t>申购1</w:t>
      </w:r>
      <w:r>
        <w:rPr>
          <w:rFonts w:ascii="楷体" w:eastAsia="楷体" w:hAnsi="楷体"/>
          <w:szCs w:val="21"/>
        </w:rPr>
        <w:t>0000元</w:t>
      </w:r>
      <w:r>
        <w:rPr>
          <w:rFonts w:ascii="楷体" w:eastAsia="楷体" w:hAnsi="楷体" w:hint="eastAsia"/>
          <w:szCs w:val="21"/>
        </w:rPr>
        <w:t>本产品</w:t>
      </w:r>
      <w:r>
        <w:rPr>
          <w:rFonts w:ascii="楷体" w:eastAsia="楷体" w:hAnsi="楷体"/>
          <w:szCs w:val="21"/>
        </w:rPr>
        <w:t>，</w:t>
      </w:r>
      <w:r>
        <w:rPr>
          <w:rFonts w:ascii="楷体" w:eastAsia="楷体" w:hAnsi="楷体" w:hint="eastAsia"/>
          <w:szCs w:val="21"/>
        </w:rPr>
        <w:t>对应开放日产</w:t>
      </w:r>
      <w:proofErr w:type="gramStart"/>
      <w:r>
        <w:rPr>
          <w:rFonts w:ascii="楷体" w:eastAsia="楷体" w:hAnsi="楷体" w:hint="eastAsia"/>
          <w:szCs w:val="21"/>
        </w:rPr>
        <w:t>品单位</w:t>
      </w:r>
      <w:proofErr w:type="gramEnd"/>
      <w:r>
        <w:rPr>
          <w:rFonts w:ascii="楷体" w:eastAsia="楷体" w:hAnsi="楷体" w:hint="eastAsia"/>
          <w:szCs w:val="21"/>
        </w:rPr>
        <w:t>净值</w:t>
      </w:r>
      <w:r>
        <w:rPr>
          <w:rFonts w:ascii="楷体" w:eastAsia="楷体" w:hAnsi="楷体"/>
          <w:szCs w:val="21"/>
        </w:rPr>
        <w:t>为1.</w:t>
      </w:r>
      <w:r>
        <w:rPr>
          <w:rFonts w:ascii="楷体" w:eastAsia="楷体" w:hAnsi="楷体" w:hint="eastAsia"/>
          <w:szCs w:val="21"/>
        </w:rPr>
        <w:t>08</w:t>
      </w:r>
      <w:r>
        <w:rPr>
          <w:rFonts w:ascii="楷体" w:eastAsia="楷体" w:hAnsi="楷体"/>
          <w:szCs w:val="21"/>
        </w:rPr>
        <w:t>0334，</w:t>
      </w:r>
      <w:r>
        <w:rPr>
          <w:rFonts w:ascii="楷体" w:eastAsia="楷体" w:hAnsi="楷体" w:hint="eastAsia"/>
          <w:szCs w:val="21"/>
        </w:rPr>
        <w:t>投资者申购确认份额为9256.40份。持有一段时间后某个开放日投资者提交赎回申请，赎回其所持有的本产品全部份额，对应开放日产</w:t>
      </w:r>
      <w:proofErr w:type="gramStart"/>
      <w:r>
        <w:rPr>
          <w:rFonts w:ascii="楷体" w:eastAsia="楷体" w:hAnsi="楷体" w:hint="eastAsia"/>
          <w:szCs w:val="21"/>
        </w:rPr>
        <w:t>品单位</w:t>
      </w:r>
      <w:proofErr w:type="gramEnd"/>
      <w:r>
        <w:rPr>
          <w:rFonts w:ascii="楷体" w:eastAsia="楷体" w:hAnsi="楷体" w:hint="eastAsia"/>
          <w:szCs w:val="21"/>
        </w:rPr>
        <w:t>净值为1.090221。</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投资者申购确认份额=1</w:t>
      </w:r>
      <w:r>
        <w:rPr>
          <w:rFonts w:ascii="楷体" w:eastAsia="楷体" w:hAnsi="楷体"/>
          <w:szCs w:val="21"/>
        </w:rPr>
        <w:t>0000</w:t>
      </w:r>
      <w:r>
        <w:rPr>
          <w:rFonts w:ascii="楷体" w:eastAsia="楷体" w:hAnsi="楷体" w:hint="eastAsia"/>
          <w:szCs w:val="21"/>
        </w:rPr>
        <w:t>/</w:t>
      </w:r>
      <w:r>
        <w:rPr>
          <w:rFonts w:ascii="楷体" w:eastAsia="楷体" w:hAnsi="楷体"/>
          <w:szCs w:val="21"/>
        </w:rPr>
        <w:t>1.</w:t>
      </w:r>
      <w:r>
        <w:rPr>
          <w:rFonts w:ascii="楷体" w:eastAsia="楷体" w:hAnsi="楷体" w:hint="eastAsia"/>
          <w:szCs w:val="21"/>
        </w:rPr>
        <w:t>08</w:t>
      </w:r>
      <w:r>
        <w:rPr>
          <w:rFonts w:ascii="楷体" w:eastAsia="楷体" w:hAnsi="楷体"/>
          <w:szCs w:val="21"/>
        </w:rPr>
        <w:t>0334</w:t>
      </w:r>
      <w:r>
        <w:rPr>
          <w:rFonts w:ascii="楷体" w:eastAsia="楷体" w:hAnsi="楷体" w:hint="eastAsia"/>
          <w:szCs w:val="21"/>
        </w:rPr>
        <w:t>=9256.40份</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投资者赎回兑付金额=9256.40</w:t>
      </w:r>
      <w:r>
        <w:rPr>
          <w:rFonts w:ascii="楷体" w:eastAsia="楷体" w:hAnsi="楷体"/>
          <w:szCs w:val="21"/>
        </w:rPr>
        <w:t>×</w:t>
      </w:r>
      <w:r>
        <w:rPr>
          <w:rFonts w:ascii="楷体" w:eastAsia="楷体" w:hAnsi="楷体" w:hint="eastAsia"/>
          <w:szCs w:val="21"/>
        </w:rPr>
        <w:t>1.090221=10091.52元</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w:t>
      </w:r>
      <w:r>
        <w:rPr>
          <w:rFonts w:ascii="楷体" w:eastAsia="楷体" w:hAnsi="楷体"/>
          <w:szCs w:val="21"/>
        </w:rPr>
        <w:t>投资收益金额=</w:t>
      </w:r>
      <w:r>
        <w:rPr>
          <w:rFonts w:ascii="楷体" w:eastAsia="楷体" w:hAnsi="楷体" w:hint="eastAsia"/>
          <w:szCs w:val="21"/>
        </w:rPr>
        <w:t>10091.52</w:t>
      </w:r>
      <w:r>
        <w:rPr>
          <w:rFonts w:ascii="楷体" w:eastAsia="楷体" w:hAnsi="楷体"/>
          <w:szCs w:val="21"/>
        </w:rPr>
        <w:t>-</w:t>
      </w:r>
      <w:r>
        <w:rPr>
          <w:rFonts w:ascii="楷体" w:eastAsia="楷体" w:hAnsi="楷体" w:hint="eastAsia"/>
          <w:szCs w:val="21"/>
        </w:rPr>
        <w:t>10000=91.52元</w:t>
      </w:r>
    </w:p>
    <w:p w:rsidR="00662B66" w:rsidRDefault="00662B66" w:rsidP="00662B66">
      <w:pPr>
        <w:numPr>
          <w:ilvl w:val="0"/>
          <w:numId w:val="17"/>
        </w:numPr>
        <w:tabs>
          <w:tab w:val="clear" w:pos="420"/>
          <w:tab w:val="left" w:pos="728"/>
        </w:tabs>
        <w:ind w:left="0" w:firstLineChars="200" w:firstLine="420"/>
        <w:outlineLvl w:val="2"/>
        <w:rPr>
          <w:rFonts w:ascii="楷体" w:eastAsia="楷体" w:hAnsi="楷体" w:cs="Calibri"/>
          <w:szCs w:val="21"/>
        </w:rPr>
      </w:pPr>
      <w:r>
        <w:rPr>
          <w:rFonts w:ascii="楷体" w:eastAsia="楷体" w:hAnsi="楷体" w:cs="Calibri" w:hint="eastAsia"/>
          <w:szCs w:val="21"/>
        </w:rPr>
        <w:t>情景二</w:t>
      </w:r>
    </w:p>
    <w:p w:rsidR="00662B66" w:rsidRDefault="00662B66" w:rsidP="00662B66">
      <w:pPr>
        <w:ind w:firstLineChars="200" w:firstLine="420"/>
        <w:rPr>
          <w:rFonts w:ascii="楷体" w:eastAsia="楷体" w:hAnsi="楷体"/>
          <w:szCs w:val="21"/>
        </w:rPr>
      </w:pPr>
      <w:r>
        <w:rPr>
          <w:rFonts w:ascii="楷体" w:eastAsia="楷体" w:hAnsi="楷体" w:hint="eastAsia"/>
          <w:szCs w:val="21"/>
        </w:rPr>
        <w:t>假定投资者申购10000元本产品，对应开放日产</w:t>
      </w:r>
      <w:proofErr w:type="gramStart"/>
      <w:r>
        <w:rPr>
          <w:rFonts w:ascii="楷体" w:eastAsia="楷体" w:hAnsi="楷体" w:hint="eastAsia"/>
          <w:szCs w:val="21"/>
        </w:rPr>
        <w:t>品单位</w:t>
      </w:r>
      <w:proofErr w:type="gramEnd"/>
      <w:r>
        <w:rPr>
          <w:rFonts w:ascii="楷体" w:eastAsia="楷体" w:hAnsi="楷体" w:hint="eastAsia"/>
          <w:szCs w:val="21"/>
        </w:rPr>
        <w:t>净值为1.080334，投资者申购确认份额为9256.40份。持有一段时间后某个开放日投资者提交赎回申请，赎回其所持有的本产品全部份额，对应开放日产</w:t>
      </w:r>
      <w:proofErr w:type="gramStart"/>
      <w:r>
        <w:rPr>
          <w:rFonts w:ascii="楷体" w:eastAsia="楷体" w:hAnsi="楷体" w:hint="eastAsia"/>
          <w:szCs w:val="21"/>
        </w:rPr>
        <w:t>品单位</w:t>
      </w:r>
      <w:proofErr w:type="gramEnd"/>
      <w:r>
        <w:rPr>
          <w:rFonts w:ascii="楷体" w:eastAsia="楷体" w:hAnsi="楷体" w:hint="eastAsia"/>
          <w:szCs w:val="21"/>
        </w:rPr>
        <w:t>净值为1.074231。</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投资者申购确认份额=1</w:t>
      </w:r>
      <w:r>
        <w:rPr>
          <w:rFonts w:ascii="楷体" w:eastAsia="楷体" w:hAnsi="楷体"/>
          <w:szCs w:val="21"/>
        </w:rPr>
        <w:t>0000</w:t>
      </w:r>
      <w:r>
        <w:rPr>
          <w:rFonts w:ascii="楷体" w:eastAsia="楷体" w:hAnsi="楷体" w:hint="eastAsia"/>
          <w:szCs w:val="21"/>
        </w:rPr>
        <w:t>/</w:t>
      </w:r>
      <w:r>
        <w:rPr>
          <w:rFonts w:ascii="楷体" w:eastAsia="楷体" w:hAnsi="楷体"/>
          <w:szCs w:val="21"/>
        </w:rPr>
        <w:t>1.</w:t>
      </w:r>
      <w:r>
        <w:rPr>
          <w:rFonts w:ascii="楷体" w:eastAsia="楷体" w:hAnsi="楷体" w:hint="eastAsia"/>
          <w:szCs w:val="21"/>
        </w:rPr>
        <w:t>08</w:t>
      </w:r>
      <w:r>
        <w:rPr>
          <w:rFonts w:ascii="楷体" w:eastAsia="楷体" w:hAnsi="楷体"/>
          <w:szCs w:val="21"/>
        </w:rPr>
        <w:t>0334</w:t>
      </w:r>
      <w:r>
        <w:rPr>
          <w:rFonts w:ascii="楷体" w:eastAsia="楷体" w:hAnsi="楷体" w:hint="eastAsia"/>
          <w:szCs w:val="21"/>
        </w:rPr>
        <w:t>=9256.40份</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投资者赎回兑付金额=9256.40×1.074231=9943.51元</w:t>
      </w:r>
    </w:p>
    <w:p w:rsidR="00662B66" w:rsidRDefault="00662B66" w:rsidP="00662B66">
      <w:pPr>
        <w:ind w:firstLineChars="200" w:firstLine="420"/>
        <w:rPr>
          <w:rFonts w:ascii="楷体" w:eastAsia="楷体" w:hAnsi="楷体"/>
          <w:szCs w:val="21"/>
        </w:rPr>
      </w:pPr>
      <w:r>
        <w:rPr>
          <w:rFonts w:ascii="楷体" w:eastAsia="楷体" w:hAnsi="楷体" w:hint="eastAsia"/>
          <w:szCs w:val="21"/>
        </w:rPr>
        <w:t>投资者投资收益金额=9943.51-10000=-56.49元</w:t>
      </w:r>
    </w:p>
    <w:p w:rsidR="00662B66" w:rsidRDefault="00662B66" w:rsidP="00662B66">
      <w:pPr>
        <w:ind w:firstLineChars="200" w:firstLine="420"/>
        <w:rPr>
          <w:rFonts w:ascii="楷体" w:eastAsia="楷体" w:hAnsi="楷体" w:cs="Calibri"/>
          <w:szCs w:val="21"/>
        </w:rPr>
      </w:pPr>
      <w:r>
        <w:rPr>
          <w:rFonts w:ascii="楷体" w:eastAsia="楷体" w:hAnsi="楷体" w:hint="eastAsia"/>
          <w:szCs w:val="21"/>
        </w:rPr>
        <w:t>投资者投资本理财产品实际亏损56.49元，</w:t>
      </w:r>
      <w:r>
        <w:rPr>
          <w:rFonts w:ascii="楷体" w:eastAsia="楷体" w:hAnsi="楷体" w:hint="eastAsia"/>
          <w:b/>
          <w:szCs w:val="21"/>
          <w:u w:val="single"/>
        </w:rPr>
        <w:t>最不利的情形下，投资者可能损失100%本金。</w:t>
      </w:r>
    </w:p>
    <w:p w:rsidR="00662B66" w:rsidRDefault="00662B66" w:rsidP="00662B66">
      <w:pPr>
        <w:ind w:firstLineChars="200" w:firstLine="422"/>
        <w:rPr>
          <w:rFonts w:ascii="楷体" w:eastAsia="楷体" w:hAnsi="楷体"/>
          <w:szCs w:val="21"/>
        </w:rPr>
      </w:pPr>
      <w:r>
        <w:rPr>
          <w:rFonts w:ascii="楷体" w:eastAsia="楷体" w:hAnsi="楷体" w:hint="eastAsia"/>
          <w:b/>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产品费用</w:t>
      </w:r>
    </w:p>
    <w:p w:rsidR="00662B66" w:rsidRDefault="00662B66" w:rsidP="00662B66">
      <w:pPr>
        <w:ind w:firstLineChars="200" w:firstLine="420"/>
        <w:rPr>
          <w:rFonts w:ascii="楷体" w:eastAsia="楷体" w:hAnsi="楷体" w:cs="Calibri"/>
          <w:szCs w:val="21"/>
        </w:rPr>
      </w:pPr>
      <w:r>
        <w:rPr>
          <w:rFonts w:ascii="楷体" w:eastAsia="楷体" w:hAnsi="楷体" w:hint="eastAsia"/>
          <w:szCs w:val="21"/>
        </w:rPr>
        <w:t>本产品费用包括托管费、销售服务费、投资管理费、超额业绩报酬（如有）以及产品运作和清算中产生的其他费用等。</w:t>
      </w:r>
      <w:r>
        <w:rPr>
          <w:rFonts w:ascii="楷体" w:eastAsia="楷体" w:hAnsi="楷体" w:cs="Calibri" w:hint="eastAsia"/>
          <w:szCs w:val="21"/>
        </w:rPr>
        <w:t>计提方法如下:</w:t>
      </w:r>
    </w:p>
    <w:p w:rsidR="00662B66" w:rsidRDefault="00662B66" w:rsidP="00662B66">
      <w:pPr>
        <w:numPr>
          <w:ilvl w:val="0"/>
          <w:numId w:val="18"/>
        </w:numPr>
        <w:tabs>
          <w:tab w:val="clear" w:pos="420"/>
          <w:tab w:val="left" w:pos="728"/>
        </w:tabs>
        <w:ind w:left="0" w:firstLineChars="200" w:firstLine="420"/>
        <w:rPr>
          <w:rFonts w:ascii="楷体" w:eastAsia="楷体" w:hAnsi="楷体"/>
          <w:szCs w:val="21"/>
        </w:rPr>
      </w:pPr>
      <w:r>
        <w:rPr>
          <w:rFonts w:ascii="楷体" w:eastAsia="楷体" w:hAnsi="楷体" w:cs="Calibri" w:hint="eastAsia"/>
          <w:szCs w:val="21"/>
        </w:rPr>
        <w:t>托管费：每日计提，</w:t>
      </w:r>
      <w:r>
        <w:rPr>
          <w:rFonts w:ascii="楷体" w:eastAsia="楷体" w:hAnsi="楷体" w:hint="eastAsia"/>
          <w:szCs w:val="21"/>
        </w:rPr>
        <w:t>每日应计提的托管费＝前一日的产品资产净值×托管费率÷</w:t>
      </w:r>
      <w:r>
        <w:rPr>
          <w:rFonts w:ascii="楷体" w:eastAsia="楷体" w:hAnsi="楷体"/>
          <w:szCs w:val="21"/>
        </w:rPr>
        <w:t>365</w:t>
      </w:r>
      <w:r>
        <w:rPr>
          <w:rFonts w:ascii="楷体" w:eastAsia="楷体" w:hAnsi="楷体" w:hint="eastAsia"/>
          <w:szCs w:val="21"/>
        </w:rPr>
        <w:t>。</w:t>
      </w:r>
    </w:p>
    <w:p w:rsidR="00662B66" w:rsidRDefault="00662B66" w:rsidP="00662B66">
      <w:pPr>
        <w:numPr>
          <w:ilvl w:val="0"/>
          <w:numId w:val="18"/>
        </w:numPr>
        <w:tabs>
          <w:tab w:val="clear" w:pos="420"/>
          <w:tab w:val="left" w:pos="728"/>
        </w:tabs>
        <w:ind w:left="0" w:firstLineChars="200" w:firstLine="420"/>
        <w:rPr>
          <w:rFonts w:ascii="楷体" w:eastAsia="楷体" w:hAnsi="楷体"/>
          <w:szCs w:val="21"/>
        </w:rPr>
      </w:pPr>
      <w:r>
        <w:rPr>
          <w:rFonts w:ascii="楷体" w:eastAsia="楷体" w:hAnsi="楷体" w:cs="Calibri" w:hint="eastAsia"/>
          <w:szCs w:val="21"/>
        </w:rPr>
        <w:lastRenderedPageBreak/>
        <w:t>销售服务费：每日计提，</w:t>
      </w:r>
      <w:r>
        <w:rPr>
          <w:rFonts w:ascii="楷体" w:eastAsia="楷体" w:hAnsi="楷体" w:hint="eastAsia"/>
          <w:szCs w:val="21"/>
        </w:rPr>
        <w:t>每日应计提的销售服务费＝前一日的产品资产净值×销售服务费率÷</w:t>
      </w:r>
      <w:r>
        <w:rPr>
          <w:rFonts w:ascii="楷体" w:eastAsia="楷体" w:hAnsi="楷体"/>
          <w:szCs w:val="21"/>
        </w:rPr>
        <w:t>365</w:t>
      </w:r>
      <w:r>
        <w:rPr>
          <w:rFonts w:ascii="楷体" w:eastAsia="楷体" w:hAnsi="楷体" w:hint="eastAsia"/>
          <w:szCs w:val="21"/>
        </w:rPr>
        <w:t>。</w:t>
      </w:r>
    </w:p>
    <w:p w:rsidR="00662B66" w:rsidRDefault="00662B66" w:rsidP="00662B66">
      <w:pPr>
        <w:numPr>
          <w:ilvl w:val="0"/>
          <w:numId w:val="1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投资管理费：每日计提，每日应计提的投资管理费＝前一日的产品资产净值×投资管理费率÷365。</w:t>
      </w:r>
    </w:p>
    <w:p w:rsidR="00662B66" w:rsidRDefault="00662B66" w:rsidP="00662B66">
      <w:pPr>
        <w:numPr>
          <w:ilvl w:val="0"/>
          <w:numId w:val="1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超额业绩报酬（如有）：无。</w:t>
      </w:r>
    </w:p>
    <w:p w:rsidR="00662B66" w:rsidRDefault="00662B66" w:rsidP="00662B66">
      <w:pPr>
        <w:numPr>
          <w:ilvl w:val="0"/>
          <w:numId w:val="18"/>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产品运作和清算中产生的交易手续费、注册登记费、账户服务费、审计费及其他应由本产品承担的费用从产品中列支。</w:t>
      </w:r>
    </w:p>
    <w:p w:rsidR="00662B66" w:rsidRDefault="00662B66" w:rsidP="00662B66">
      <w:pPr>
        <w:numPr>
          <w:ilvl w:val="0"/>
          <w:numId w:val="18"/>
        </w:numPr>
        <w:tabs>
          <w:tab w:val="clear" w:pos="420"/>
          <w:tab w:val="left" w:pos="728"/>
        </w:tabs>
        <w:ind w:left="0" w:firstLineChars="200" w:firstLine="420"/>
        <w:rPr>
          <w:rFonts w:ascii="楷体" w:eastAsia="楷体" w:hAnsi="楷体" w:cs="楷体"/>
        </w:rPr>
      </w:pPr>
      <w:r>
        <w:rPr>
          <w:rFonts w:ascii="楷体" w:eastAsia="楷体" w:hAnsi="楷体" w:cs="楷体" w:hint="eastAsia"/>
          <w:szCs w:val="21"/>
        </w:rPr>
        <w:t>本产品不收取认购费用、申购费用、赎回费用。</w:t>
      </w:r>
    </w:p>
    <w:p w:rsidR="00662B66" w:rsidRDefault="00662B66" w:rsidP="00662B66">
      <w:pPr>
        <w:numPr>
          <w:ilvl w:val="0"/>
          <w:numId w:val="18"/>
        </w:numPr>
        <w:tabs>
          <w:tab w:val="clear" w:pos="420"/>
          <w:tab w:val="left" w:pos="728"/>
        </w:tabs>
        <w:ind w:left="0" w:firstLineChars="200" w:firstLine="420"/>
        <w:rPr>
          <w:rFonts w:ascii="楷体" w:eastAsia="楷体" w:hAnsi="楷体" w:cs="楷体"/>
        </w:rPr>
      </w:pPr>
      <w:r>
        <w:rPr>
          <w:rFonts w:ascii="楷体" w:eastAsia="楷体" w:hAnsi="楷体" w:cs="楷体" w:hint="eastAsia"/>
          <w:szCs w:val="21"/>
        </w:rPr>
        <w:t>费用计算四舍五入保留至小数点后两位。</w:t>
      </w:r>
    </w:p>
    <w:p w:rsidR="00662B66" w:rsidRDefault="00662B66" w:rsidP="00662B66">
      <w:pPr>
        <w:ind w:firstLineChars="200" w:firstLine="420"/>
      </w:pPr>
      <w:r>
        <w:rPr>
          <w:rFonts w:ascii="楷体" w:eastAsia="楷体" w:hAnsi="楷体" w:cs="楷体" w:hint="eastAsia"/>
          <w:szCs w:val="21"/>
        </w:rPr>
        <w:t>产品管理人有权根据市场情况等因素调整上述各项费用费率和超额业绩报酬收取方式及比例，</w:t>
      </w:r>
      <w:r>
        <w:rPr>
          <w:rFonts w:ascii="楷体" w:eastAsia="楷体" w:hAnsi="楷体" w:hint="eastAsia"/>
          <w:szCs w:val="21"/>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产品估值</w:t>
      </w:r>
    </w:p>
    <w:p w:rsidR="00662B66" w:rsidRDefault="00662B66" w:rsidP="00662B66">
      <w:pPr>
        <w:numPr>
          <w:ilvl w:val="0"/>
          <w:numId w:val="19"/>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估值对象</w:t>
      </w:r>
    </w:p>
    <w:p w:rsidR="00662B66" w:rsidRDefault="00662B66" w:rsidP="00662B66">
      <w:pPr>
        <w:ind w:firstLineChars="200" w:firstLine="420"/>
        <w:rPr>
          <w:rFonts w:ascii="楷体" w:eastAsia="楷体" w:hAnsi="楷体"/>
          <w:szCs w:val="21"/>
        </w:rPr>
      </w:pPr>
      <w:r>
        <w:rPr>
          <w:rFonts w:ascii="楷体" w:eastAsia="楷体" w:hAnsi="楷体" w:hint="eastAsia"/>
          <w:szCs w:val="21"/>
        </w:rPr>
        <w:t>本产品所拥有的各类证券、银行存款、应收款项及其它资产及负债。</w:t>
      </w:r>
    </w:p>
    <w:p w:rsidR="00662B66" w:rsidRDefault="00662B66" w:rsidP="00662B66">
      <w:pPr>
        <w:numPr>
          <w:ilvl w:val="0"/>
          <w:numId w:val="19"/>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估值要求</w:t>
      </w:r>
    </w:p>
    <w:p w:rsidR="00662B66" w:rsidRDefault="00662B66" w:rsidP="00662B66">
      <w:pPr>
        <w:numPr>
          <w:ilvl w:val="0"/>
          <w:numId w:val="20"/>
        </w:numPr>
        <w:tabs>
          <w:tab w:val="clear" w:pos="0"/>
          <w:tab w:val="left" w:pos="728"/>
        </w:tabs>
        <w:ind w:firstLineChars="200" w:firstLine="420"/>
        <w:rPr>
          <w:rFonts w:ascii="楷体" w:eastAsia="楷体" w:hAnsi="楷体" w:cs="Calibri"/>
          <w:szCs w:val="21"/>
        </w:rPr>
      </w:pPr>
      <w:r>
        <w:rPr>
          <w:rFonts w:ascii="楷体" w:eastAsia="楷体" w:hAnsi="楷体" w:cs="Calibri" w:hint="eastAsia"/>
          <w:szCs w:val="21"/>
        </w:rPr>
        <w:t>本产品资产估值的目的是客观、准确地反映资产净值，确定理财产品资产净值，并为理财产品的兑付提供计价依据。</w:t>
      </w:r>
    </w:p>
    <w:p w:rsidR="00662B66" w:rsidRDefault="00662B66" w:rsidP="00662B66">
      <w:pPr>
        <w:numPr>
          <w:ilvl w:val="0"/>
          <w:numId w:val="20"/>
        </w:numPr>
        <w:tabs>
          <w:tab w:val="clear" w:pos="0"/>
          <w:tab w:val="left" w:pos="728"/>
        </w:tabs>
        <w:ind w:firstLineChars="200" w:firstLine="420"/>
        <w:rPr>
          <w:rFonts w:ascii="楷体" w:eastAsia="楷体" w:hAnsi="楷体" w:cs="Calibri"/>
          <w:szCs w:val="21"/>
        </w:rPr>
      </w:pPr>
      <w:r>
        <w:rPr>
          <w:rFonts w:ascii="楷体" w:eastAsia="楷体" w:hAnsi="楷体" w:cs="Calibri" w:hint="eastAsia"/>
          <w:szCs w:val="21"/>
        </w:rPr>
        <w:t>本产品单位净值精确到小数点后6位，小数点6位后截位。</w:t>
      </w:r>
    </w:p>
    <w:p w:rsidR="00662B66" w:rsidRDefault="00662B66" w:rsidP="00662B66">
      <w:pPr>
        <w:numPr>
          <w:ilvl w:val="0"/>
          <w:numId w:val="19"/>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估值方法</w:t>
      </w:r>
    </w:p>
    <w:p w:rsidR="00662B66" w:rsidRDefault="00662B66" w:rsidP="00662B66">
      <w:pPr>
        <w:ind w:firstLineChars="200" w:firstLine="420"/>
        <w:rPr>
          <w:rFonts w:ascii="楷体" w:eastAsia="楷体" w:hAnsi="楷体"/>
          <w:szCs w:val="21"/>
        </w:rPr>
      </w:pPr>
      <w:r>
        <w:rPr>
          <w:rFonts w:ascii="楷体" w:eastAsia="楷体" w:hAnsi="楷体" w:hint="eastAsia"/>
          <w:szCs w:val="21"/>
        </w:rPr>
        <w:t>1.存款类资产、货币市场工具：以本金列示，逐日计提利息。</w:t>
      </w:r>
    </w:p>
    <w:p w:rsidR="00662B66" w:rsidRDefault="00662B66" w:rsidP="00662B66">
      <w:pPr>
        <w:ind w:firstLineChars="200" w:firstLine="420"/>
        <w:rPr>
          <w:rFonts w:ascii="楷体" w:eastAsia="楷体" w:hAnsi="楷体"/>
          <w:szCs w:val="21"/>
        </w:rPr>
      </w:pPr>
      <w:r>
        <w:rPr>
          <w:rFonts w:ascii="楷体" w:eastAsia="楷体" w:hAnsi="楷体" w:hint="eastAsia"/>
          <w:szCs w:val="21"/>
        </w:rPr>
        <w:t>2.货币市场基金：按公允价值进行估值，以估值截止时间点能够取得的最新每万份收益进行估值。</w:t>
      </w:r>
    </w:p>
    <w:p w:rsidR="00662B66" w:rsidRDefault="00662B66" w:rsidP="00662B66">
      <w:pPr>
        <w:ind w:firstLineChars="200" w:firstLine="420"/>
        <w:rPr>
          <w:rFonts w:ascii="楷体" w:eastAsia="楷体" w:hAnsi="楷体"/>
          <w:szCs w:val="21"/>
        </w:rPr>
      </w:pPr>
      <w:r>
        <w:rPr>
          <w:rFonts w:ascii="楷体" w:eastAsia="楷体" w:hAnsi="楷体" w:hint="eastAsia"/>
          <w:szCs w:val="21"/>
        </w:rPr>
        <w:t>3.债券类资产：按公允价值进行估值，采用市价、监管认可的第三方估值机构提供的估值价格进行估值。</w:t>
      </w:r>
    </w:p>
    <w:p w:rsidR="00662B66" w:rsidRDefault="00662B66" w:rsidP="00662B66">
      <w:pPr>
        <w:ind w:firstLineChars="200" w:firstLine="420"/>
        <w:rPr>
          <w:rFonts w:ascii="楷体" w:eastAsia="楷体" w:hAnsi="楷体"/>
          <w:szCs w:val="21"/>
        </w:rPr>
      </w:pPr>
      <w:r>
        <w:rPr>
          <w:rFonts w:ascii="楷体" w:eastAsia="楷体" w:hAnsi="楷体" w:hint="eastAsia"/>
          <w:szCs w:val="21"/>
        </w:rPr>
        <w:t>4.权益类资产：按公允价值进行估值，采用市价、监管认可的第三方估值机构提供的估值价格进行估值。</w:t>
      </w:r>
    </w:p>
    <w:p w:rsidR="00662B66" w:rsidRDefault="00662B66" w:rsidP="00662B66">
      <w:pPr>
        <w:ind w:firstLineChars="200" w:firstLine="420"/>
        <w:rPr>
          <w:rFonts w:ascii="楷体" w:eastAsia="楷体" w:hAnsi="楷体"/>
          <w:szCs w:val="21"/>
        </w:rPr>
      </w:pPr>
      <w:r>
        <w:rPr>
          <w:rFonts w:ascii="楷体" w:eastAsia="楷体" w:hAnsi="楷体" w:hint="eastAsia"/>
          <w:szCs w:val="21"/>
        </w:rPr>
        <w:t>5.证券、基金、保险等资产管理计划和信托计划等资产（不含货币市场基金）：按公允价值进行估值，上述各</w:t>
      </w:r>
      <w:proofErr w:type="gramStart"/>
      <w:r>
        <w:rPr>
          <w:rFonts w:ascii="楷体" w:eastAsia="楷体" w:hAnsi="楷体" w:hint="eastAsia"/>
          <w:szCs w:val="21"/>
        </w:rPr>
        <w:t>类资管</w:t>
      </w:r>
      <w:proofErr w:type="gramEnd"/>
      <w:r>
        <w:rPr>
          <w:rFonts w:ascii="楷体" w:eastAsia="楷体" w:hAnsi="楷体" w:hint="eastAsia"/>
          <w:szCs w:val="21"/>
        </w:rPr>
        <w:t>产品关于同一投资品种的估值原则、政策、技术和方法等应与理财产品管理人保持一致，理财产品管理人将按照会计准则要求定期进行评估。</w:t>
      </w:r>
    </w:p>
    <w:p w:rsidR="00662B66" w:rsidRDefault="00662B66" w:rsidP="00662B66">
      <w:pPr>
        <w:ind w:firstLineChars="200" w:firstLine="420"/>
        <w:rPr>
          <w:rFonts w:ascii="楷体" w:eastAsia="楷体" w:hAnsi="楷体"/>
          <w:szCs w:val="21"/>
        </w:rPr>
      </w:pPr>
      <w:r>
        <w:rPr>
          <w:rFonts w:ascii="楷体" w:eastAsia="楷体" w:hAnsi="楷体" w:hint="eastAsia"/>
          <w:szCs w:val="21"/>
        </w:rPr>
        <w:t>6.其他资产：按公允价值进行估值。</w:t>
      </w:r>
    </w:p>
    <w:p w:rsidR="00662B66" w:rsidRDefault="00662B66" w:rsidP="00662B66">
      <w:pPr>
        <w:ind w:firstLineChars="200" w:firstLine="420"/>
        <w:rPr>
          <w:rFonts w:ascii="楷体" w:eastAsia="楷体" w:hAnsi="楷体"/>
          <w:szCs w:val="21"/>
        </w:rPr>
      </w:pPr>
      <w:r>
        <w:rPr>
          <w:rFonts w:ascii="楷体" w:eastAsia="楷体" w:hAnsi="楷体" w:hint="eastAsia"/>
          <w:szCs w:val="21"/>
        </w:rPr>
        <w:t>如有新增事项或变更事项，按国家法律法规及监管最新规定执行。</w:t>
      </w:r>
    </w:p>
    <w:p w:rsidR="00662B66" w:rsidRDefault="00662B66" w:rsidP="00662B66">
      <w:pPr>
        <w:numPr>
          <w:ilvl w:val="0"/>
          <w:numId w:val="19"/>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估值错误的处理</w:t>
      </w:r>
    </w:p>
    <w:p w:rsidR="00662B66" w:rsidRDefault="00662B66" w:rsidP="00662B66">
      <w:pPr>
        <w:ind w:firstLineChars="200" w:firstLine="420"/>
        <w:rPr>
          <w:rFonts w:ascii="楷体" w:eastAsia="楷体" w:hAnsi="楷体"/>
          <w:szCs w:val="21"/>
        </w:rPr>
      </w:pPr>
      <w:r>
        <w:rPr>
          <w:rFonts w:ascii="楷体" w:eastAsia="楷体" w:hAnsi="楷体" w:hint="eastAsia"/>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rsidR="00662B66" w:rsidRDefault="00662B66" w:rsidP="00662B66">
      <w:pPr>
        <w:numPr>
          <w:ilvl w:val="0"/>
          <w:numId w:val="19"/>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暂停估值</w:t>
      </w:r>
    </w:p>
    <w:p w:rsidR="00662B66" w:rsidRDefault="00662B66" w:rsidP="00662B66">
      <w:pPr>
        <w:ind w:firstLineChars="200" w:firstLine="420"/>
      </w:pPr>
      <w:r>
        <w:rPr>
          <w:rFonts w:ascii="楷体" w:eastAsia="楷体" w:hAnsi="楷体" w:hint="eastAsia"/>
          <w:szCs w:val="21"/>
        </w:rPr>
        <w:t>理财产品投资所涉及的证券交易所遇法定节假日或其他原因暂停营业时，或因任何不可抗力致使无法准确评估资产价值时，可暂停估值。但估值条件恢复时，将按规定完成估值工作。</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信息披露</w:t>
      </w:r>
    </w:p>
    <w:p w:rsidR="00662B66" w:rsidRDefault="00662B66" w:rsidP="00662B66">
      <w:pPr>
        <w:numPr>
          <w:ilvl w:val="0"/>
          <w:numId w:val="21"/>
        </w:numPr>
        <w:tabs>
          <w:tab w:val="left" w:pos="993"/>
        </w:tabs>
        <w:ind w:left="0" w:firstLineChars="200" w:firstLine="420"/>
        <w:outlineLvl w:val="1"/>
        <w:rPr>
          <w:rFonts w:ascii="楷体" w:eastAsia="楷体" w:hAnsi="楷体" w:cs="Calibri"/>
          <w:bCs/>
          <w:szCs w:val="21"/>
        </w:rPr>
      </w:pPr>
      <w:r>
        <w:rPr>
          <w:rFonts w:ascii="楷体" w:eastAsia="楷体" w:hAnsi="楷体" w:cs="Calibri" w:hint="eastAsia"/>
          <w:bCs/>
          <w:szCs w:val="21"/>
        </w:rPr>
        <w:t>信息披露方式</w:t>
      </w:r>
    </w:p>
    <w:p w:rsidR="00662B66" w:rsidRDefault="00662B66" w:rsidP="00662B66">
      <w:pPr>
        <w:numPr>
          <w:ilvl w:val="0"/>
          <w:numId w:val="22"/>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lastRenderedPageBreak/>
        <w:t>管理人通过苏银理财有限责任公司官方网站（</w:t>
      </w:r>
      <w:r>
        <w:rPr>
          <w:rFonts w:ascii="楷体" w:eastAsia="楷体" w:hAnsi="楷体" w:cs="Calibri"/>
          <w:szCs w:val="21"/>
        </w:rPr>
        <w:t>www</w:t>
      </w:r>
      <w:r>
        <w:rPr>
          <w:rFonts w:ascii="楷体" w:eastAsia="楷体" w:hAnsi="楷体" w:cs="Calibri" w:hint="eastAsia"/>
          <w:szCs w:val="21"/>
        </w:rPr>
        <w:t>.</w:t>
      </w:r>
      <w:r>
        <w:rPr>
          <w:rFonts w:ascii="楷体" w:eastAsia="楷体" w:hAnsi="楷体" w:cs="Calibri"/>
          <w:szCs w:val="21"/>
        </w:rPr>
        <w:t>suyinwealth</w:t>
      </w:r>
      <w:r>
        <w:rPr>
          <w:rFonts w:ascii="楷体" w:eastAsia="楷体" w:hAnsi="楷体" w:cs="Calibri" w:hint="eastAsia"/>
          <w:szCs w:val="21"/>
        </w:rPr>
        <w:t>.</w:t>
      </w:r>
      <w:r>
        <w:rPr>
          <w:rFonts w:ascii="楷体" w:eastAsia="楷体" w:hAnsi="楷体" w:cs="Calibri"/>
          <w:szCs w:val="21"/>
        </w:rPr>
        <w:t>com</w:t>
      </w:r>
      <w:r>
        <w:rPr>
          <w:rFonts w:ascii="楷体" w:eastAsia="楷体" w:hAnsi="楷体" w:cs="Calibri" w:hint="eastAsia"/>
          <w:szCs w:val="21"/>
        </w:rPr>
        <w:t>）进行信息披露。</w:t>
      </w:r>
    </w:p>
    <w:p w:rsidR="00662B66" w:rsidRDefault="00662B66" w:rsidP="00662B66">
      <w:pPr>
        <w:numPr>
          <w:ilvl w:val="0"/>
          <w:numId w:val="22"/>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管理人将信息披露内容发送销售机构，由销售机构通过短信及销售机构电子渠道和营业网点等方式进行信息披露。</w:t>
      </w:r>
    </w:p>
    <w:p w:rsidR="00662B66" w:rsidRDefault="00662B66" w:rsidP="00662B66">
      <w:pPr>
        <w:ind w:firstLineChars="200" w:firstLine="420"/>
        <w:rPr>
          <w:rFonts w:ascii="楷体" w:eastAsia="楷体" w:hAnsi="楷体" w:cs="Calibri"/>
          <w:szCs w:val="21"/>
        </w:rPr>
      </w:pPr>
      <w:r>
        <w:rPr>
          <w:rFonts w:ascii="楷体" w:eastAsia="楷体" w:hAnsi="楷体" w:hint="eastAsia"/>
          <w:szCs w:val="21"/>
        </w:rPr>
        <w:t>相关信息在发布或发出之日视为通知已送达投资者并生效，管理人已完全履行信息披露义务。如因投资者未及时查询，或由于通讯故障、非产品管理</w:t>
      </w:r>
      <w:proofErr w:type="gramStart"/>
      <w:r>
        <w:rPr>
          <w:rFonts w:ascii="楷体" w:eastAsia="楷体" w:hAnsi="楷体" w:hint="eastAsia"/>
          <w:szCs w:val="21"/>
        </w:rPr>
        <w:t>人原因</w:t>
      </w:r>
      <w:proofErr w:type="gramEnd"/>
      <w:r>
        <w:rPr>
          <w:rFonts w:ascii="楷体" w:eastAsia="楷体" w:hAnsi="楷体" w:hint="eastAsia"/>
          <w:szCs w:val="21"/>
        </w:rPr>
        <w:t>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公司官方网站或者向销售机构查询获取披露信息。</w:t>
      </w:r>
    </w:p>
    <w:p w:rsidR="00662B66" w:rsidRDefault="00662B66" w:rsidP="00662B66">
      <w:pPr>
        <w:numPr>
          <w:ilvl w:val="0"/>
          <w:numId w:val="21"/>
        </w:numPr>
        <w:tabs>
          <w:tab w:val="left" w:pos="993"/>
        </w:tabs>
        <w:ind w:left="0" w:firstLineChars="200" w:firstLine="420"/>
        <w:outlineLvl w:val="1"/>
        <w:rPr>
          <w:rFonts w:ascii="楷体" w:eastAsia="楷体" w:hAnsi="楷体" w:cs="Calibri"/>
          <w:bCs/>
          <w:szCs w:val="21"/>
        </w:rPr>
      </w:pPr>
      <w:r>
        <w:rPr>
          <w:rFonts w:ascii="楷体" w:eastAsia="楷体" w:hAnsi="楷体" w:cs="Calibri" w:hint="eastAsia"/>
          <w:bCs/>
          <w:szCs w:val="21"/>
        </w:rPr>
        <w:t>信息披露内容及时间</w:t>
      </w:r>
    </w:p>
    <w:p w:rsidR="00662B66" w:rsidRDefault="00662B66" w:rsidP="00662B66">
      <w:pPr>
        <w:numPr>
          <w:ilvl w:val="0"/>
          <w:numId w:val="23"/>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产品净值：公募封闭式产品至少每周向投资者披露一次产品的份额净值、份额累计净值；公募开放式产品每个开放日结束后两个工作日内，披露开放式公募理财产品在开放日的份额净值、份额累计净值、认（申）购价格和赎回价格；私募产品至少每季度向投资者披露一次产品的份额净值、份额累计净值，以管理人实际披露为准。</w:t>
      </w:r>
    </w:p>
    <w:p w:rsidR="00662B66" w:rsidRDefault="00662B66" w:rsidP="00662B66">
      <w:pPr>
        <w:numPr>
          <w:ilvl w:val="0"/>
          <w:numId w:val="23"/>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发行公告：管理人在产品成立后5个工作日内，披露产品成立公告，内容包括理财产品成立日期和募集规模等信息。</w:t>
      </w:r>
    </w:p>
    <w:p w:rsidR="00662B66" w:rsidRDefault="00662B66" w:rsidP="00662B66">
      <w:pPr>
        <w:numPr>
          <w:ilvl w:val="0"/>
          <w:numId w:val="23"/>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rsidR="00662B66" w:rsidRDefault="00662B66" w:rsidP="00662B66">
      <w:pPr>
        <w:numPr>
          <w:ilvl w:val="0"/>
          <w:numId w:val="23"/>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到期公告：管理人在产品终止后5个工作日内，披露产品到期公告，内容包括理财产品的存续期限、终止日期、收费情况和收益分配情况等信息。</w:t>
      </w:r>
    </w:p>
    <w:p w:rsidR="00662B66" w:rsidRDefault="00662B66" w:rsidP="00662B66">
      <w:pPr>
        <w:numPr>
          <w:ilvl w:val="0"/>
          <w:numId w:val="23"/>
        </w:numPr>
        <w:tabs>
          <w:tab w:val="clear" w:pos="420"/>
          <w:tab w:val="left" w:pos="728"/>
        </w:tabs>
        <w:ind w:left="0" w:firstLineChars="200" w:firstLine="420"/>
        <w:rPr>
          <w:rFonts w:ascii="楷体" w:eastAsia="楷体" w:hAnsi="楷体" w:cs="Calibri"/>
          <w:szCs w:val="21"/>
        </w:rPr>
      </w:pPr>
      <w:r>
        <w:rPr>
          <w:rFonts w:ascii="楷体" w:eastAsia="楷体" w:hAnsi="楷体" w:cs="Calibri" w:hint="eastAsia"/>
          <w:szCs w:val="21"/>
        </w:rPr>
        <w:t>重大事项公告：管理人在发生可能对理财产品投资者或者理财产品收益产生重大影响的事件后2个工作日内发布重大事项公告。</w:t>
      </w:r>
    </w:p>
    <w:p w:rsidR="00662B66" w:rsidRDefault="00662B66" w:rsidP="00662B66">
      <w:pPr>
        <w:numPr>
          <w:ilvl w:val="0"/>
          <w:numId w:val="23"/>
        </w:numPr>
        <w:tabs>
          <w:tab w:val="clear" w:pos="420"/>
          <w:tab w:val="left" w:pos="728"/>
        </w:tabs>
        <w:ind w:left="0" w:firstLineChars="200" w:firstLine="420"/>
        <w:rPr>
          <w:rFonts w:ascii="楷体" w:eastAsia="楷体" w:hAnsi="楷体" w:cs="楷体"/>
          <w:szCs w:val="21"/>
        </w:rPr>
      </w:pPr>
      <w:r>
        <w:rPr>
          <w:rFonts w:ascii="楷体" w:eastAsia="楷体" w:hAnsi="楷体" w:cs="楷体" w:hint="eastAsia"/>
          <w:szCs w:val="21"/>
        </w:rPr>
        <w:t>临时性信息：管理人将及时披露国务院银行业监督管理机构规定的其他信息或除重大事项事件以外的其他信息。</w:t>
      </w:r>
    </w:p>
    <w:p w:rsidR="00662B66" w:rsidRDefault="00662B66" w:rsidP="00662B66">
      <w:pPr>
        <w:numPr>
          <w:ilvl w:val="0"/>
          <w:numId w:val="23"/>
        </w:numPr>
        <w:tabs>
          <w:tab w:val="clear" w:pos="420"/>
          <w:tab w:val="left" w:pos="728"/>
        </w:tabs>
        <w:ind w:left="0" w:firstLineChars="200" w:firstLine="420"/>
        <w:rPr>
          <w:rFonts w:ascii="楷体" w:eastAsia="楷体" w:hAnsi="楷体" w:cs="楷体"/>
          <w:szCs w:val="21"/>
        </w:rPr>
      </w:pPr>
      <w:r>
        <w:rPr>
          <w:rFonts w:ascii="楷体" w:eastAsia="楷体" w:hAnsi="楷体" w:cs="楷体" w:hint="eastAsia"/>
          <w:szCs w:val="21"/>
        </w:rPr>
        <w:t>半年度整体报告：每半年披露从事理财业务活动的有关信息。</w:t>
      </w:r>
    </w:p>
    <w:p w:rsidR="00662B66" w:rsidRDefault="00662B66" w:rsidP="00662B66">
      <w:pPr>
        <w:numPr>
          <w:ilvl w:val="0"/>
          <w:numId w:val="23"/>
        </w:numPr>
        <w:tabs>
          <w:tab w:val="clear" w:pos="420"/>
          <w:tab w:val="left" w:pos="728"/>
        </w:tabs>
        <w:ind w:left="0" w:firstLineChars="200" w:firstLine="420"/>
        <w:rPr>
          <w:rFonts w:ascii="楷体" w:eastAsia="楷体" w:hAnsi="楷体" w:cs="楷体"/>
        </w:rPr>
      </w:pPr>
      <w:r>
        <w:rPr>
          <w:rFonts w:ascii="楷体" w:eastAsia="楷体" w:hAnsi="楷体" w:cs="楷体" w:hint="eastAsia"/>
          <w:szCs w:val="21"/>
        </w:rPr>
        <w:t>理财账单：管理人每月向投资者提供其所持有的理财产品账单，账单内容包括但不限于投资者持有的理财产品份额、认购金额、份额单位净值、份额累计净值、资产净值、收益情况、投资者理财交易账户发生的交易明细记录等信息。</w:t>
      </w:r>
    </w:p>
    <w:p w:rsidR="00662B66" w:rsidRDefault="00662B66" w:rsidP="00662B66">
      <w:pPr>
        <w:numPr>
          <w:ilvl w:val="0"/>
          <w:numId w:val="6"/>
        </w:numPr>
        <w:tabs>
          <w:tab w:val="clear" w:pos="0"/>
          <w:tab w:val="left" w:pos="1134"/>
        </w:tabs>
        <w:ind w:firstLineChars="200" w:firstLine="422"/>
        <w:outlineLvl w:val="0"/>
        <w:rPr>
          <w:rFonts w:ascii="楷体" w:eastAsia="楷体" w:hAnsi="楷体"/>
          <w:b/>
          <w:szCs w:val="21"/>
        </w:rPr>
      </w:pPr>
      <w:r>
        <w:rPr>
          <w:rFonts w:ascii="楷体" w:eastAsia="楷体" w:hAnsi="楷体" w:hint="eastAsia"/>
          <w:b/>
          <w:szCs w:val="21"/>
        </w:rPr>
        <w:t>其他</w:t>
      </w:r>
    </w:p>
    <w:p w:rsidR="00662B66" w:rsidRDefault="00662B66" w:rsidP="00662B66">
      <w:pPr>
        <w:numPr>
          <w:ilvl w:val="0"/>
          <w:numId w:val="24"/>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追索条款</w:t>
      </w:r>
    </w:p>
    <w:p w:rsidR="00662B66" w:rsidRDefault="00662B66" w:rsidP="00662B66">
      <w:pPr>
        <w:ind w:firstLineChars="200" w:firstLine="420"/>
        <w:rPr>
          <w:rFonts w:ascii="楷体" w:eastAsia="楷体" w:hAnsi="楷体"/>
          <w:szCs w:val="21"/>
        </w:rPr>
      </w:pPr>
      <w:r>
        <w:rPr>
          <w:rFonts w:ascii="楷体" w:eastAsia="楷体" w:hAnsi="楷体" w:hint="eastAsia"/>
          <w:szCs w:val="21"/>
        </w:rPr>
        <w:t>若本理财产品所投资的金融资产到期不能全部偿付导致资产减值甚至本金大幅损失，则苏银理财将以管理人名义，代表理财产品投资者利益行使诉讼权利或者实施其他权利救济措施。</w:t>
      </w:r>
    </w:p>
    <w:p w:rsidR="00662B66" w:rsidRDefault="00662B66" w:rsidP="00662B66">
      <w:pPr>
        <w:numPr>
          <w:ilvl w:val="0"/>
          <w:numId w:val="24"/>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信息安全</w:t>
      </w:r>
    </w:p>
    <w:p w:rsidR="00662B66" w:rsidRDefault="00662B66" w:rsidP="00662B66">
      <w:pPr>
        <w:ind w:firstLineChars="200" w:firstLine="420"/>
        <w:rPr>
          <w:rFonts w:ascii="楷体" w:eastAsia="楷体" w:hAnsi="楷体"/>
          <w:szCs w:val="21"/>
        </w:rPr>
      </w:pPr>
      <w:r>
        <w:rPr>
          <w:rFonts w:ascii="楷体" w:eastAsia="楷体" w:hAnsi="楷体" w:hint="eastAsia"/>
          <w:szCs w:val="21"/>
        </w:rPr>
        <w:t>苏银理财及销售机构将据相关法律、法规严格履行投资者信息保密责任，除监管机构或司法机关等有权机构外，不得对</w:t>
      </w:r>
      <w:proofErr w:type="gramStart"/>
      <w:r>
        <w:rPr>
          <w:rFonts w:ascii="楷体" w:eastAsia="楷体" w:hAnsi="楷体" w:hint="eastAsia"/>
          <w:szCs w:val="21"/>
        </w:rPr>
        <w:t>其他第三</w:t>
      </w:r>
      <w:proofErr w:type="gramEnd"/>
      <w:r>
        <w:rPr>
          <w:rFonts w:ascii="楷体" w:eastAsia="楷体" w:hAnsi="楷体" w:hint="eastAsia"/>
          <w:szCs w:val="21"/>
        </w:rPr>
        <w:t>方提供任何投资者信息。</w:t>
      </w:r>
    </w:p>
    <w:p w:rsidR="00662B66" w:rsidRDefault="00662B66" w:rsidP="00662B66">
      <w:pPr>
        <w:numPr>
          <w:ilvl w:val="0"/>
          <w:numId w:val="24"/>
        </w:numPr>
        <w:tabs>
          <w:tab w:val="clear" w:pos="420"/>
          <w:tab w:val="left" w:pos="993"/>
        </w:tabs>
        <w:ind w:left="0" w:firstLineChars="200" w:firstLine="420"/>
        <w:rPr>
          <w:rFonts w:ascii="楷体" w:eastAsia="楷体" w:hAnsi="楷体" w:cs="Calibri"/>
          <w:szCs w:val="21"/>
        </w:rPr>
      </w:pPr>
      <w:r>
        <w:rPr>
          <w:rFonts w:ascii="楷体" w:eastAsia="楷体" w:hAnsi="楷体" w:cs="Calibri" w:hint="eastAsia"/>
          <w:szCs w:val="21"/>
        </w:rPr>
        <w:t>争议解决</w:t>
      </w:r>
    </w:p>
    <w:p w:rsidR="00662B66" w:rsidRDefault="00662B66" w:rsidP="00662B66">
      <w:pPr>
        <w:ind w:firstLineChars="200" w:firstLine="420"/>
        <w:jc w:val="left"/>
        <w:rPr>
          <w:rFonts w:ascii="楷体" w:eastAsia="楷体" w:hAnsi="楷体"/>
        </w:rPr>
      </w:pPr>
      <w:r>
        <w:rPr>
          <w:rFonts w:ascii="楷体" w:eastAsia="楷体" w:hAnsi="楷体" w:hint="eastAsia"/>
          <w:szCs w:val="21"/>
        </w:rPr>
        <w:t>本产品说明书的订立、生效、履行、解释、修改和终止等事项均适用中华人民共和国（为本合同目的，不包括香港特别行政区、澳门特别行政区和台湾地区）法律。因本产品说明书引起的或与本产品说明书有关的任何争议，应当首先通过双方之间的友好协商解决；协商不成的，双方均有权提交产品管理人住所地有管辖权的人民法院诉讼解决。</w:t>
      </w:r>
    </w:p>
    <w:p w:rsidR="00CE0743" w:rsidRPr="00662B66" w:rsidRDefault="00CE0743" w:rsidP="00662B66">
      <w:bookmarkStart w:id="0" w:name="_GoBack"/>
      <w:bookmarkEnd w:id="0"/>
    </w:p>
    <w:sectPr w:rsidR="00CE0743" w:rsidRPr="00662B66">
      <w:headerReference w:type="even" r:id="rId8"/>
      <w:headerReference w:type="default" r:id="rId9"/>
      <w:footerReference w:type="default" r:id="rId10"/>
      <w:headerReference w:type="first" r:id="rId11"/>
      <w:pgSz w:w="11906" w:h="16838"/>
      <w:pgMar w:top="1440" w:right="113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E9C" w:rsidRDefault="005D7E9C">
      <w:r>
        <w:separator/>
      </w:r>
    </w:p>
  </w:endnote>
  <w:endnote w:type="continuationSeparator" w:id="0">
    <w:p w:rsidR="005D7E9C" w:rsidRDefault="005D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浠垮畫">
    <w:altName w:val="方正仿宋简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743" w:rsidRDefault="005D7E9C">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8</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rPr>
      <w:t>38</w:t>
    </w:r>
    <w:r>
      <w:rPr>
        <w:b/>
        <w:bCs/>
        <w:sz w:val="24"/>
        <w:szCs w:val="24"/>
      </w:rPr>
      <w:fldChar w:fldCharType="end"/>
    </w:r>
  </w:p>
  <w:p w:rsidR="00CE0743" w:rsidRDefault="00CE07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E9C" w:rsidRDefault="005D7E9C">
      <w:r>
        <w:separator/>
      </w:r>
    </w:p>
  </w:footnote>
  <w:footnote w:type="continuationSeparator" w:id="0">
    <w:p w:rsidR="005D7E9C" w:rsidRDefault="005D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743" w:rsidRDefault="005D7E9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2" o:spid="_x0000_s2053" type="#_x0000_t75" style="position:absolute;left:0;text-align:left;margin-left:0;margin-top:0;width:1137.35pt;height:862.85pt;z-index:-251656192;mso-position-horizontal:center;mso-position-horizontal-relative:margin;mso-position-vertical:center;mso-position-vertical-relative:margin;mso-width-relative:page;mso-height-relative:page" o:allowincell="f">
          <v:imagedata r:id="rId1" o:title="苏银理财"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743" w:rsidRDefault="00662B66">
    <w:pPr>
      <w:pStyle w:val="a0"/>
      <w:kinsoku w:val="0"/>
      <w:overflowPunct w:val="0"/>
      <w:spacing w:before="0" w:line="320" w:lineRule="exact"/>
      <w:ind w:left="20"/>
      <w:jc w:val="both"/>
      <w:rPr>
        <w:rFonts w:ascii="楷体" w:eastAsia="楷体" w:hAnsi="楷体" w:cs="黑体"/>
        <w:b/>
        <w:spacing w:val="-2"/>
        <w:sz w:val="24"/>
        <w:szCs w:val="24"/>
      </w:rPr>
    </w:pPr>
    <w:r>
      <w:rPr>
        <w:noProof/>
      </w:rPr>
      <w:drawing>
        <wp:anchor distT="0" distB="0" distL="114300" distR="114300" simplePos="0" relativeHeight="251662336" behindDoc="0" locked="0" layoutInCell="1" allowOverlap="1">
          <wp:simplePos x="0" y="0"/>
          <wp:positionH relativeFrom="column">
            <wp:posOffset>4965065</wp:posOffset>
          </wp:positionH>
          <wp:positionV relativeFrom="paragraph">
            <wp:posOffset>-95250</wp:posOffset>
          </wp:positionV>
          <wp:extent cx="1325245" cy="424815"/>
          <wp:effectExtent l="0" t="0" r="8255" b="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C:\Users\JSYH\Desktop\苏银理财.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245" cy="424815"/>
                  </a:xfrm>
                  <a:prstGeom prst="rect">
                    <a:avLst/>
                  </a:prstGeom>
                  <a:noFill/>
                  <a:ln>
                    <a:noFill/>
                  </a:ln>
                </pic:spPr>
              </pic:pic>
            </a:graphicData>
          </a:graphic>
          <wp14:sizeRelH relativeFrom="page">
            <wp14:pctWidth>0</wp14:pctWidth>
          </wp14:sizeRelH>
          <wp14:sizeRelV relativeFrom="page">
            <wp14:pctHeight>0</wp14:pctHeight>
          </wp14:sizeRelV>
        </wp:anchor>
      </w:drawing>
    </w:r>
    <w:r w:rsidR="005D7E9C">
      <w:rPr>
        <w:rFonts w:ascii="楷体" w:eastAsia="楷体" w:hAnsi="楷体"/>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3" o:spid="_x0000_s2054" type="#_x0000_t75" style="position:absolute;left:0;text-align:left;margin-left:-315.7pt;margin-top:-81.05pt;width:1137.35pt;height:862.85pt;z-index:-251655168;mso-position-horizontal-relative:margin;mso-position-vertical-relative:margin;mso-width-relative:page;mso-height-relative:page" o:allowincell="f">
          <v:imagedata r:id="rId2" o:title="苏银理财" gain="19661f" blacklevel="22938f"/>
          <w10:wrap anchorx="margin" anchory="margin"/>
        </v:shape>
      </w:pict>
    </w:r>
    <w:r w:rsidR="005D7E9C">
      <w:rPr>
        <w:rFonts w:ascii="楷体" w:eastAsia="楷体" w:hAnsi="楷体" w:cs="黑体" w:hint="eastAsia"/>
        <w:b/>
        <w:bCs/>
        <w:spacing w:val="-2"/>
        <w:sz w:val="24"/>
        <w:szCs w:val="24"/>
      </w:rPr>
      <w:t>理财非存款、产品有风险、投资须谨慎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743" w:rsidRDefault="005D7E9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1" o:spid="_x0000_s2056" type="#_x0000_t75" style="position:absolute;left:0;text-align:left;margin-left:0;margin-top:0;width:1137.35pt;height:862.85pt;z-index:-251657216;mso-position-horizontal:center;mso-position-horizontal-relative:margin;mso-position-vertical:center;mso-position-vertical-relative:margin;mso-width-relative:page;mso-height-relative:page" o:allowincell="f">
          <v:imagedata r:id="rId1" o:title="苏银理财"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C7A4B8"/>
    <w:multiLevelType w:val="multilevel"/>
    <w:tmpl w:val="83C7A4B8"/>
    <w:lvl w:ilvl="0">
      <w:start w:val="1"/>
      <w:numFmt w:val="decimal"/>
      <w:suff w:val="nothing"/>
      <w:lvlText w:val="%1."/>
      <w:lvlJc w:val="left"/>
      <w:pPr>
        <w:tabs>
          <w:tab w:val="left" w:pos="420"/>
        </w:tabs>
        <w:ind w:left="420" w:hanging="420"/>
      </w:pPr>
      <w:rPr>
        <w:rFonts w:eastAsia="楷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837F028"/>
    <w:multiLevelType w:val="multilevel"/>
    <w:tmpl w:val="8837F028"/>
    <w:lvl w:ilvl="0">
      <w:start w:val="1"/>
      <w:numFmt w:val="chineseCounting"/>
      <w:suff w:val="nothing"/>
      <w:lvlText w:val="（%1）"/>
      <w:lvlJc w:val="left"/>
      <w:pPr>
        <w:tabs>
          <w:tab w:val="left" w:pos="0"/>
        </w:tabs>
        <w:ind w:left="420" w:hanging="420"/>
      </w:pPr>
      <w:rPr>
        <w:rFonts w:ascii="楷体" w:eastAsia="楷体" w:hAnsi="楷体" w:cs="楷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8CA9D336"/>
    <w:multiLevelType w:val="multilevel"/>
    <w:tmpl w:val="8CA9D336"/>
    <w:lvl w:ilvl="0">
      <w:start w:val="1"/>
      <w:numFmt w:val="chineseCounting"/>
      <w:suff w:val="nothing"/>
      <w:lvlText w:val="（%1）"/>
      <w:lvlJc w:val="left"/>
      <w:pPr>
        <w:tabs>
          <w:tab w:val="left" w:pos="0"/>
        </w:tabs>
        <w:ind w:left="420" w:hanging="420"/>
      </w:pPr>
      <w:rPr>
        <w:rFonts w:ascii="楷体" w:eastAsia="楷体" w:hAnsi="楷体" w:cs="楷体"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AE4D0C0E"/>
    <w:multiLevelType w:val="multilevel"/>
    <w:tmpl w:val="AE4D0C0E"/>
    <w:lvl w:ilvl="0">
      <w:start w:val="1"/>
      <w:numFmt w:val="decimal"/>
      <w:suff w:val="nothing"/>
      <w:lvlText w:val="%1."/>
      <w:lvlJc w:val="left"/>
      <w:pPr>
        <w:tabs>
          <w:tab w:val="left" w:pos="420"/>
        </w:tabs>
        <w:ind w:left="420" w:hanging="420"/>
      </w:pPr>
      <w:rPr>
        <w:rFonts w:eastAsia="楷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C6965CB1"/>
    <w:multiLevelType w:val="multilevel"/>
    <w:tmpl w:val="C6965CB1"/>
    <w:lvl w:ilvl="0">
      <w:start w:val="1"/>
      <w:numFmt w:val="decimal"/>
      <w:suff w:val="nothing"/>
      <w:lvlText w:val="%1."/>
      <w:lvlJc w:val="left"/>
      <w:pPr>
        <w:tabs>
          <w:tab w:val="left" w:pos="420"/>
        </w:tabs>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D4FA9CD1"/>
    <w:multiLevelType w:val="singleLevel"/>
    <w:tmpl w:val="D4FA9CD1"/>
    <w:lvl w:ilvl="0">
      <w:start w:val="1"/>
      <w:numFmt w:val="decimalEnclosedCircleChinese"/>
      <w:suff w:val="nothing"/>
      <w:lvlText w:val="%1"/>
      <w:lvlJc w:val="left"/>
      <w:pPr>
        <w:tabs>
          <w:tab w:val="left" w:pos="0"/>
        </w:tabs>
        <w:ind w:left="0" w:firstLine="0"/>
      </w:pPr>
      <w:rPr>
        <w:rFonts w:ascii="楷体" w:eastAsia="楷体" w:hAnsi="楷体" w:cs="楷体" w:hint="eastAsia"/>
      </w:rPr>
    </w:lvl>
  </w:abstractNum>
  <w:abstractNum w:abstractNumId="6" w15:restartNumberingAfterBreak="0">
    <w:nsid w:val="D55A4D67"/>
    <w:multiLevelType w:val="multilevel"/>
    <w:tmpl w:val="D55A4D67"/>
    <w:lvl w:ilvl="0">
      <w:start w:val="1"/>
      <w:numFmt w:val="chineseCounting"/>
      <w:suff w:val="nothing"/>
      <w:lvlText w:val="（%1）"/>
      <w:lvlJc w:val="left"/>
      <w:pPr>
        <w:tabs>
          <w:tab w:val="left" w:pos="0"/>
        </w:tabs>
        <w:ind w:left="420" w:hanging="420"/>
      </w:pPr>
      <w:rPr>
        <w:rFonts w:ascii="宋体" w:eastAsia="楷体" w:hAnsi="宋体" w:cs="宋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E2209538"/>
    <w:multiLevelType w:val="multilevel"/>
    <w:tmpl w:val="E2209538"/>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EE895835"/>
    <w:multiLevelType w:val="multilevel"/>
    <w:tmpl w:val="EE895835"/>
    <w:lvl w:ilvl="0">
      <w:start w:val="1"/>
      <w:numFmt w:val="decimal"/>
      <w:suff w:val="nothing"/>
      <w:lvlText w:val="%1."/>
      <w:lvlJc w:val="left"/>
      <w:pPr>
        <w:ind w:left="0" w:firstLine="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F9EB37A1"/>
    <w:multiLevelType w:val="multilevel"/>
    <w:tmpl w:val="F9EB37A1"/>
    <w:lvl w:ilvl="0">
      <w:start w:val="1"/>
      <w:numFmt w:val="decimal"/>
      <w:suff w:val="nothing"/>
      <w:lvlText w:val="%1."/>
      <w:lvlJc w:val="left"/>
      <w:pPr>
        <w:tabs>
          <w:tab w:val="left" w:pos="420"/>
        </w:tabs>
        <w:ind w:left="420" w:hanging="420"/>
      </w:pPr>
      <w:rPr>
        <w:rFonts w:eastAsia="楷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FABDD487"/>
    <w:multiLevelType w:val="multilevel"/>
    <w:tmpl w:val="FABDD487"/>
    <w:lvl w:ilvl="0">
      <w:start w:val="1"/>
      <w:numFmt w:val="chineseCounting"/>
      <w:suff w:val="nothing"/>
      <w:lvlText w:val="（%1）"/>
      <w:lvlJc w:val="left"/>
      <w:pPr>
        <w:tabs>
          <w:tab w:val="left" w:pos="420"/>
        </w:tabs>
        <w:ind w:left="420" w:hanging="420"/>
      </w:pPr>
      <w:rPr>
        <w:rFonts w:ascii="宋体" w:eastAsia="楷体" w:hAnsi="宋体" w:cs="宋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0C3765E7"/>
    <w:multiLevelType w:val="multilevel"/>
    <w:tmpl w:val="0C3765E7"/>
    <w:lvl w:ilvl="0">
      <w:start w:val="1"/>
      <w:numFmt w:val="chineseCounting"/>
      <w:suff w:val="nothing"/>
      <w:lvlText w:val="（%1）"/>
      <w:lvlJc w:val="left"/>
      <w:pPr>
        <w:tabs>
          <w:tab w:val="left" w:pos="0"/>
        </w:tabs>
        <w:ind w:left="420" w:hanging="420"/>
      </w:pPr>
      <w:rPr>
        <w:rFonts w:ascii="楷体" w:eastAsia="楷体" w:hAnsi="楷体" w:cs="楷体" w:hint="eastAsia"/>
        <w:b w:val="0"/>
        <w:bCs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110C2B17"/>
    <w:multiLevelType w:val="multilevel"/>
    <w:tmpl w:val="110C2B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2C31650"/>
    <w:multiLevelType w:val="multilevel"/>
    <w:tmpl w:val="12C31650"/>
    <w:lvl w:ilvl="0">
      <w:start w:val="1"/>
      <w:numFmt w:val="decimal"/>
      <w:suff w:val="noth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62CAAB"/>
    <w:multiLevelType w:val="singleLevel"/>
    <w:tmpl w:val="2F62CAAB"/>
    <w:lvl w:ilvl="0">
      <w:start w:val="1"/>
      <w:numFmt w:val="decimal"/>
      <w:suff w:val="nothing"/>
      <w:lvlText w:val="%1."/>
      <w:lvlJc w:val="left"/>
      <w:pPr>
        <w:tabs>
          <w:tab w:val="left" w:pos="0"/>
        </w:tabs>
        <w:ind w:left="0" w:firstLine="0"/>
      </w:pPr>
      <w:rPr>
        <w:rFonts w:hint="default"/>
      </w:rPr>
    </w:lvl>
  </w:abstractNum>
  <w:abstractNum w:abstractNumId="15" w15:restartNumberingAfterBreak="0">
    <w:nsid w:val="33EC73A0"/>
    <w:multiLevelType w:val="multilevel"/>
    <w:tmpl w:val="33EC73A0"/>
    <w:lvl w:ilvl="0">
      <w:start w:val="1"/>
      <w:numFmt w:val="chineseCounting"/>
      <w:suff w:val="nothing"/>
      <w:lvlText w:val="（%1）"/>
      <w:lvlJc w:val="left"/>
      <w:pPr>
        <w:tabs>
          <w:tab w:val="left" w:pos="0"/>
        </w:tabs>
        <w:ind w:left="0" w:firstLine="709"/>
      </w:pPr>
      <w:rPr>
        <w:rFonts w:ascii="宋体" w:eastAsia="楷体" w:hAnsi="宋体" w:cs="宋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3603F780"/>
    <w:multiLevelType w:val="multilevel"/>
    <w:tmpl w:val="3603F780"/>
    <w:lvl w:ilvl="0">
      <w:start w:val="1"/>
      <w:numFmt w:val="decimal"/>
      <w:suff w:val="nothing"/>
      <w:lvlText w:val="%1."/>
      <w:lvlJc w:val="left"/>
      <w:pPr>
        <w:tabs>
          <w:tab w:val="left" w:pos="420"/>
        </w:tabs>
        <w:ind w:left="420" w:hanging="420"/>
      </w:pPr>
      <w:rPr>
        <w:rFonts w:eastAsia="楷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08999D"/>
    <w:multiLevelType w:val="singleLevel"/>
    <w:tmpl w:val="3708999D"/>
    <w:lvl w:ilvl="0">
      <w:start w:val="1"/>
      <w:numFmt w:val="decimalEnclosedCircleChinese"/>
      <w:suff w:val="nothing"/>
      <w:lvlText w:val="%1　"/>
      <w:lvlJc w:val="left"/>
      <w:pPr>
        <w:ind w:left="0" w:firstLine="400"/>
      </w:pPr>
      <w:rPr>
        <w:rFonts w:hint="eastAsia"/>
        <w:b w:val="0"/>
        <w:bCs w:val="0"/>
      </w:rPr>
    </w:lvl>
  </w:abstractNum>
  <w:abstractNum w:abstractNumId="18" w15:restartNumberingAfterBreak="0">
    <w:nsid w:val="4C33CBE2"/>
    <w:multiLevelType w:val="multilevel"/>
    <w:tmpl w:val="4C33CBE2"/>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FF03779"/>
    <w:multiLevelType w:val="singleLevel"/>
    <w:tmpl w:val="4FF03779"/>
    <w:lvl w:ilvl="0">
      <w:start w:val="1"/>
      <w:numFmt w:val="decimal"/>
      <w:suff w:val="nothing"/>
      <w:lvlText w:val="%1."/>
      <w:lvlJc w:val="left"/>
      <w:pPr>
        <w:tabs>
          <w:tab w:val="left" w:pos="0"/>
        </w:tabs>
        <w:ind w:left="0" w:firstLine="0"/>
      </w:pPr>
      <w:rPr>
        <w:rFonts w:hint="default"/>
      </w:rPr>
    </w:lvl>
  </w:abstractNum>
  <w:abstractNum w:abstractNumId="20" w15:restartNumberingAfterBreak="0">
    <w:nsid w:val="537C70F8"/>
    <w:multiLevelType w:val="multilevel"/>
    <w:tmpl w:val="537C70F8"/>
    <w:lvl w:ilvl="0">
      <w:start w:val="1"/>
      <w:numFmt w:val="chineseCounting"/>
      <w:suff w:val="nothing"/>
      <w:lvlText w:val="%1、"/>
      <w:lvlJc w:val="left"/>
      <w:pPr>
        <w:tabs>
          <w:tab w:val="left" w:pos="0"/>
        </w:tabs>
        <w:ind w:left="0" w:firstLine="40"/>
      </w:pPr>
      <w:rPr>
        <w:rFonts w:ascii="楷体" w:eastAsia="楷体" w:hAnsi="楷体" w:cs="楷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959BFF6"/>
    <w:multiLevelType w:val="multilevel"/>
    <w:tmpl w:val="5959BFF6"/>
    <w:lvl w:ilvl="0">
      <w:start w:val="1"/>
      <w:numFmt w:val="decimal"/>
      <w:suff w:val="nothing"/>
      <w:lvlText w:val="%1."/>
      <w:lvlJc w:val="left"/>
      <w:pPr>
        <w:ind w:left="0" w:firstLine="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63B36EF9"/>
    <w:multiLevelType w:val="multilevel"/>
    <w:tmpl w:val="63B36EF9"/>
    <w:lvl w:ilvl="0">
      <w:start w:val="1"/>
      <w:numFmt w:val="chineseCounting"/>
      <w:suff w:val="nothing"/>
      <w:lvlText w:val="（%1）"/>
      <w:lvlJc w:val="left"/>
      <w:pPr>
        <w:tabs>
          <w:tab w:val="left" w:pos="0"/>
        </w:tabs>
        <w:ind w:left="420" w:hanging="420"/>
      </w:pPr>
      <w:rPr>
        <w:rFonts w:ascii="宋体" w:eastAsia="楷体" w:hAnsi="宋体" w:cs="宋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6CD7663"/>
    <w:multiLevelType w:val="multilevel"/>
    <w:tmpl w:val="66CD7663"/>
    <w:lvl w:ilvl="0">
      <w:start w:val="1"/>
      <w:numFmt w:val="chineseCounting"/>
      <w:suff w:val="nothing"/>
      <w:lvlText w:val="（%1）"/>
      <w:lvlJc w:val="left"/>
      <w:pPr>
        <w:tabs>
          <w:tab w:val="left" w:pos="420"/>
        </w:tabs>
        <w:ind w:left="1129" w:hanging="420"/>
      </w:pPr>
      <w:rPr>
        <w:rFonts w:ascii="宋体" w:eastAsia="楷体" w:hAnsi="宋体" w:cs="宋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8"/>
  </w:num>
  <w:num w:numId="2">
    <w:abstractNumId w:val="2"/>
  </w:num>
  <w:num w:numId="3">
    <w:abstractNumId w:val="21"/>
  </w:num>
  <w:num w:numId="4">
    <w:abstractNumId w:val="8"/>
  </w:num>
  <w:num w:numId="5">
    <w:abstractNumId w:val="17"/>
  </w:num>
  <w:num w:numId="6">
    <w:abstractNumId w:val="20"/>
  </w:num>
  <w:num w:numId="7">
    <w:abstractNumId w:val="1"/>
  </w:num>
  <w:num w:numId="8">
    <w:abstractNumId w:val="3"/>
  </w:num>
  <w:num w:numId="9">
    <w:abstractNumId w:val="13"/>
  </w:num>
  <w:num w:numId="10">
    <w:abstractNumId w:val="6"/>
  </w:num>
  <w:num w:numId="11">
    <w:abstractNumId w:val="5"/>
  </w:num>
  <w:num w:numId="12">
    <w:abstractNumId w:val="19"/>
  </w:num>
  <w:num w:numId="13">
    <w:abstractNumId w:val="22"/>
  </w:num>
  <w:num w:numId="14">
    <w:abstractNumId w:val="15"/>
  </w:num>
  <w:num w:numId="15">
    <w:abstractNumId w:val="12"/>
  </w:num>
  <w:num w:numId="16">
    <w:abstractNumId w:val="11"/>
  </w:num>
  <w:num w:numId="17">
    <w:abstractNumId w:val="4"/>
  </w:num>
  <w:num w:numId="18">
    <w:abstractNumId w:val="0"/>
  </w:num>
  <w:num w:numId="19">
    <w:abstractNumId w:val="23"/>
  </w:num>
  <w:num w:numId="20">
    <w:abstractNumId w:val="14"/>
  </w:num>
  <w:num w:numId="21">
    <w:abstractNumId w:val="7"/>
  </w:num>
  <w:num w:numId="22">
    <w:abstractNumId w:val="16"/>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420"/>
  <w:drawingGridVerticalSpacing w:val="156"/>
  <w:noPunctuationKerning/>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D7E9C"/>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B66"/>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074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A50F2"/>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2C339D"/>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0825AB"/>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866DF7"/>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902E0"/>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84DB3"/>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50334"/>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5130B"/>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0A6B58"/>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34695"/>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83119D"/>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2722F"/>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ED13F2"/>
    <w:rsid w:val="56F160AC"/>
    <w:rsid w:val="56F246C4"/>
    <w:rsid w:val="570E463B"/>
    <w:rsid w:val="57117464"/>
    <w:rsid w:val="571E565A"/>
    <w:rsid w:val="571F0743"/>
    <w:rsid w:val="572068B0"/>
    <w:rsid w:val="573904D6"/>
    <w:rsid w:val="57602C1A"/>
    <w:rsid w:val="57634243"/>
    <w:rsid w:val="5766483B"/>
    <w:rsid w:val="576A6F9F"/>
    <w:rsid w:val="576F2FD6"/>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94076"/>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D7E23"/>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54CE027C"/>
  <w15:docId w15:val="{E7B41677-72FC-4FC5-8A15-5CB8300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9"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1"/>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2">
    <w:name w:val="heading 2"/>
    <w:basedOn w:val="a"/>
    <w:next w:val="a"/>
    <w:link w:val="21"/>
    <w:uiPriority w:val="9"/>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1"/>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10"/>
    <w:uiPriority w:val="1"/>
    <w:qFormat/>
    <w:pPr>
      <w:autoSpaceDE w:val="0"/>
      <w:autoSpaceDN w:val="0"/>
      <w:adjustRightInd w:val="0"/>
      <w:spacing w:before="162"/>
      <w:ind w:left="120"/>
      <w:jc w:val="left"/>
    </w:pPr>
    <w:rPr>
      <w:rFonts w:ascii="宋体"/>
      <w:kern w:val="0"/>
      <w:sz w:val="20"/>
      <w:szCs w:val="21"/>
    </w:rPr>
  </w:style>
  <w:style w:type="paragraph" w:styleId="a4">
    <w:name w:val="annotation text"/>
    <w:basedOn w:val="a"/>
    <w:link w:val="12"/>
    <w:uiPriority w:val="99"/>
    <w:unhideWhenUsed/>
    <w:qFormat/>
    <w:pPr>
      <w:jc w:val="left"/>
    </w:pPr>
  </w:style>
  <w:style w:type="paragraph" w:styleId="a5">
    <w:name w:val="Date"/>
    <w:basedOn w:val="a"/>
    <w:next w:val="a"/>
    <w:link w:val="13"/>
    <w:uiPriority w:val="99"/>
    <w:unhideWhenUsed/>
    <w:qFormat/>
    <w:pPr>
      <w:ind w:leftChars="2500" w:left="100"/>
    </w:pPr>
  </w:style>
  <w:style w:type="paragraph" w:styleId="a6">
    <w:name w:val="Balloon Text"/>
    <w:basedOn w:val="a"/>
    <w:link w:val="14"/>
    <w:uiPriority w:val="99"/>
    <w:unhideWhenUsed/>
    <w:qFormat/>
    <w:rPr>
      <w:kern w:val="0"/>
      <w:sz w:val="18"/>
      <w:szCs w:val="18"/>
    </w:rPr>
  </w:style>
  <w:style w:type="paragraph" w:styleId="a7">
    <w:name w:val="footer"/>
    <w:basedOn w:val="a"/>
    <w:link w:val="15"/>
    <w:uiPriority w:val="99"/>
    <w:unhideWhenUsed/>
    <w:qFormat/>
    <w:pPr>
      <w:tabs>
        <w:tab w:val="center" w:pos="4153"/>
        <w:tab w:val="right" w:pos="8306"/>
      </w:tabs>
      <w:snapToGrid w:val="0"/>
      <w:jc w:val="left"/>
    </w:pPr>
    <w:rPr>
      <w:kern w:val="0"/>
      <w:sz w:val="18"/>
      <w:szCs w:val="18"/>
    </w:rPr>
  </w:style>
  <w:style w:type="paragraph" w:styleId="a8">
    <w:name w:val="header"/>
    <w:basedOn w:val="a"/>
    <w:link w:val="1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20"/>
    <w:uiPriority w:val="99"/>
    <w:semiHidden/>
    <w:unhideWhenUsed/>
    <w:qFormat/>
    <w:pPr>
      <w:snapToGrid w:val="0"/>
      <w:jc w:val="left"/>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17"/>
    <w:uiPriority w:val="99"/>
    <w:unhideWhenUsed/>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rFonts w:ascii="Times New Roman" w:eastAsia="宋体" w:hAnsi="Times New Roman" w:cs="Times New Roman"/>
      <w:b/>
      <w:bCs/>
    </w:rPr>
  </w:style>
  <w:style w:type="character" w:styleId="ae">
    <w:name w:val="Hyperlink"/>
    <w:uiPriority w:val="99"/>
    <w:unhideWhenUsed/>
    <w:qFormat/>
    <w:rPr>
      <w:rFonts w:ascii="Times New Roman" w:eastAsia="宋体" w:hAnsi="Times New Roman" w:cs="Times New Roman"/>
      <w:color w:val="0000FF"/>
      <w:u w:val="single"/>
    </w:rPr>
  </w:style>
  <w:style w:type="character" w:styleId="af">
    <w:name w:val="annotation reference"/>
    <w:uiPriority w:val="99"/>
    <w:unhideWhenUsed/>
    <w:qFormat/>
    <w:rPr>
      <w:rFonts w:ascii="Times New Roman" w:eastAsia="宋体" w:hAnsi="Times New Roman" w:cs="Times New Roman"/>
      <w:sz w:val="21"/>
      <w:szCs w:val="21"/>
    </w:rPr>
  </w:style>
  <w:style w:type="character" w:styleId="af0">
    <w:name w:val="footnote reference"/>
    <w:uiPriority w:val="99"/>
    <w:semiHidden/>
    <w:unhideWhenUsed/>
    <w:qFormat/>
    <w:rPr>
      <w:rFonts w:ascii="Times New Roman" w:eastAsia="宋体" w:hAnsi="Times New Roman" w:cs="Times New Roman"/>
      <w:vertAlign w:val="superscript"/>
    </w:rPr>
  </w:style>
  <w:style w:type="character" w:customStyle="1" w:styleId="af1">
    <w:name w:val="批注文字 字符"/>
    <w:uiPriority w:val="99"/>
    <w:qFormat/>
    <w:rPr>
      <w:rFonts w:ascii="Times New Roman" w:eastAsia="宋体" w:hAnsi="Times New Roman" w:cs="Times New Roman"/>
    </w:rPr>
  </w:style>
  <w:style w:type="character" w:customStyle="1" w:styleId="30">
    <w:name w:val="标题 3 字符"/>
    <w:uiPriority w:val="1"/>
    <w:qFormat/>
    <w:rPr>
      <w:rFonts w:ascii="宋体" w:eastAsia="宋体" w:hAnsi="Times New Roman" w:cs="Times New Roman"/>
      <w:b/>
      <w:bCs/>
      <w:kern w:val="0"/>
      <w:sz w:val="20"/>
      <w:szCs w:val="21"/>
    </w:rPr>
  </w:style>
  <w:style w:type="character" w:customStyle="1" w:styleId="18">
    <w:name w:val="脚注文本 字符1"/>
    <w:uiPriority w:val="99"/>
    <w:semiHidden/>
    <w:qFormat/>
    <w:rPr>
      <w:rFonts w:ascii="Times New Roman" w:eastAsia="宋体" w:hAnsi="Times New Roman" w:cs="Times New Roman"/>
      <w:sz w:val="18"/>
      <w:szCs w:val="18"/>
    </w:rPr>
  </w:style>
  <w:style w:type="character" w:customStyle="1" w:styleId="22">
    <w:name w:val="标题 2 字符"/>
    <w:uiPriority w:val="9"/>
    <w:qFormat/>
    <w:rPr>
      <w:rFonts w:ascii="Cambria" w:eastAsia="宋体" w:hAnsi="Cambria" w:cs="Times New Roman"/>
      <w:b/>
      <w:bCs/>
      <w:kern w:val="0"/>
      <w:sz w:val="32"/>
      <w:szCs w:val="32"/>
    </w:rPr>
  </w:style>
  <w:style w:type="character" w:customStyle="1" w:styleId="af2">
    <w:name w:val="正文文本 字符"/>
    <w:uiPriority w:val="1"/>
    <w:qFormat/>
    <w:rPr>
      <w:rFonts w:ascii="宋体" w:eastAsia="宋体" w:hAnsi="Times New Roman" w:cs="Times New Roman"/>
      <w:kern w:val="0"/>
      <w:sz w:val="20"/>
      <w:szCs w:val="21"/>
    </w:rPr>
  </w:style>
  <w:style w:type="character" w:customStyle="1" w:styleId="af3">
    <w:name w:val="脚注文本 字符"/>
    <w:uiPriority w:val="99"/>
    <w:semiHidden/>
    <w:qFormat/>
    <w:rPr>
      <w:rFonts w:ascii="Times New Roman" w:eastAsia="宋体" w:hAnsi="Times New Roman" w:cs="Times New Roman"/>
      <w:kern w:val="2"/>
      <w:sz w:val="18"/>
      <w:szCs w:val="18"/>
    </w:rPr>
  </w:style>
  <w:style w:type="character" w:customStyle="1" w:styleId="af4">
    <w:name w:val="批注主题 字符"/>
    <w:uiPriority w:val="99"/>
    <w:semiHidden/>
    <w:qFormat/>
    <w:rPr>
      <w:rFonts w:ascii="Times New Roman" w:eastAsia="宋体" w:hAnsi="Times New Roman" w:cs="Times New Roman"/>
      <w:b/>
      <w:bCs/>
    </w:rPr>
  </w:style>
  <w:style w:type="character" w:customStyle="1" w:styleId="af5">
    <w:name w:val="日期 字符"/>
    <w:basedOn w:val="a1"/>
    <w:uiPriority w:val="99"/>
    <w:semiHidden/>
    <w:qFormat/>
    <w:rPr>
      <w:rFonts w:ascii="Times New Roman" w:eastAsia="宋体" w:hAnsi="Times New Roman" w:cs="Times New Roman"/>
    </w:rPr>
  </w:style>
  <w:style w:type="character" w:customStyle="1" w:styleId="19">
    <w:name w:val="标题 1 字符"/>
    <w:uiPriority w:val="1"/>
    <w:qFormat/>
    <w:rPr>
      <w:rFonts w:ascii="黑体" w:eastAsia="黑体" w:hAnsi="Times New Roman" w:cs="Times New Roman"/>
      <w:b/>
      <w:bCs/>
      <w:kern w:val="0"/>
      <w:sz w:val="36"/>
      <w:szCs w:val="36"/>
    </w:rPr>
  </w:style>
  <w:style w:type="character" w:customStyle="1" w:styleId="af6">
    <w:name w:val="页脚 字符"/>
    <w:uiPriority w:val="99"/>
    <w:qFormat/>
    <w:rPr>
      <w:rFonts w:ascii="Times New Roman" w:eastAsia="宋体" w:hAnsi="Times New Roman" w:cs="Times New Roman"/>
      <w:kern w:val="0"/>
      <w:sz w:val="18"/>
      <w:szCs w:val="18"/>
    </w:rPr>
  </w:style>
  <w:style w:type="character" w:customStyle="1" w:styleId="af7">
    <w:name w:val="页眉 字符"/>
    <w:uiPriority w:val="99"/>
    <w:qFormat/>
    <w:rPr>
      <w:rFonts w:ascii="Times New Roman" w:eastAsia="宋体" w:hAnsi="Times New Roman" w:cs="Times New Roman"/>
      <w:kern w:val="0"/>
      <w:sz w:val="18"/>
      <w:szCs w:val="18"/>
    </w:rPr>
  </w:style>
  <w:style w:type="character" w:customStyle="1" w:styleId="af8">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a"/>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styleId="af9">
    <w:name w:val="List Paragraph"/>
    <w:basedOn w:val="a"/>
    <w:uiPriority w:val="72"/>
    <w:qFormat/>
    <w:pPr>
      <w:ind w:firstLineChars="200" w:firstLine="420"/>
    </w:pPr>
  </w:style>
  <w:style w:type="paragraph" w:customStyle="1" w:styleId="Style36">
    <w:name w:val="_Style 36"/>
    <w:uiPriority w:val="99"/>
    <w:semiHidden/>
    <w:qFormat/>
    <w:rPr>
      <w:kern w:val="2"/>
      <w:sz w:val="21"/>
      <w:szCs w:val="22"/>
    </w:rPr>
  </w:style>
  <w:style w:type="character" w:customStyle="1" w:styleId="11">
    <w:name w:val="标题 1 字符1"/>
    <w:link w:val="1"/>
    <w:uiPriority w:val="1"/>
    <w:qFormat/>
    <w:rPr>
      <w:rFonts w:ascii="黑体" w:eastAsia="黑体" w:hAnsi="Times New Roman" w:cs="黑体"/>
      <w:b/>
      <w:bCs/>
      <w:kern w:val="0"/>
      <w:sz w:val="36"/>
      <w:szCs w:val="36"/>
    </w:rPr>
  </w:style>
  <w:style w:type="character" w:customStyle="1" w:styleId="21">
    <w:name w:val="标题 2 字符1"/>
    <w:link w:val="2"/>
    <w:uiPriority w:val="9"/>
    <w:qFormat/>
    <w:rPr>
      <w:rFonts w:ascii="Cambria" w:eastAsia="宋体" w:hAnsi="Cambria" w:cs="Times New Roman"/>
      <w:b/>
      <w:bCs/>
      <w:sz w:val="32"/>
      <w:szCs w:val="32"/>
    </w:rPr>
  </w:style>
  <w:style w:type="character" w:customStyle="1" w:styleId="31">
    <w:name w:val="标题 3 字符1"/>
    <w:link w:val="3"/>
    <w:uiPriority w:val="1"/>
    <w:qFormat/>
    <w:rPr>
      <w:rFonts w:ascii="宋体" w:eastAsia="宋体" w:hAnsi="Times New Roman" w:cs="宋体"/>
      <w:b/>
      <w:bCs/>
      <w:kern w:val="0"/>
      <w:szCs w:val="21"/>
    </w:rPr>
  </w:style>
  <w:style w:type="character" w:customStyle="1" w:styleId="12">
    <w:name w:val="批注文字 字符1"/>
    <w:link w:val="a4"/>
    <w:uiPriority w:val="99"/>
    <w:qFormat/>
    <w:rPr>
      <w:rFonts w:ascii="Times New Roman" w:eastAsia="宋体" w:hAnsi="Times New Roman" w:cs="Times New Roman"/>
      <w:kern w:val="2"/>
      <w:sz w:val="21"/>
      <w:szCs w:val="22"/>
    </w:rPr>
  </w:style>
  <w:style w:type="character" w:customStyle="1" w:styleId="10">
    <w:name w:val="正文文本 字符1"/>
    <w:link w:val="a0"/>
    <w:uiPriority w:val="1"/>
    <w:qFormat/>
    <w:rPr>
      <w:rFonts w:ascii="宋体" w:eastAsia="宋体" w:hAnsi="Times New Roman" w:cs="宋体"/>
      <w:kern w:val="0"/>
      <w:szCs w:val="21"/>
    </w:rPr>
  </w:style>
  <w:style w:type="character" w:customStyle="1" w:styleId="13">
    <w:name w:val="日期 字符1"/>
    <w:basedOn w:val="a1"/>
    <w:link w:val="a5"/>
    <w:uiPriority w:val="99"/>
    <w:semiHidden/>
    <w:qFormat/>
    <w:rPr>
      <w:rFonts w:ascii="Times New Roman" w:eastAsia="宋体" w:hAnsi="Times New Roman" w:cs="Times New Roman"/>
    </w:rPr>
  </w:style>
  <w:style w:type="character" w:customStyle="1" w:styleId="14">
    <w:name w:val="批注框文本 字符1"/>
    <w:link w:val="a6"/>
    <w:uiPriority w:val="99"/>
    <w:semiHidden/>
    <w:qFormat/>
    <w:rPr>
      <w:rFonts w:ascii="Times New Roman" w:eastAsia="宋体" w:hAnsi="Times New Roman" w:cs="Times New Roman"/>
      <w:sz w:val="18"/>
      <w:szCs w:val="18"/>
    </w:rPr>
  </w:style>
  <w:style w:type="character" w:customStyle="1" w:styleId="15">
    <w:name w:val="页脚 字符1"/>
    <w:link w:val="a7"/>
    <w:uiPriority w:val="99"/>
    <w:qFormat/>
    <w:rPr>
      <w:rFonts w:ascii="Times New Roman" w:eastAsia="宋体" w:hAnsi="Times New Roman" w:cs="Times New Roman"/>
      <w:sz w:val="18"/>
      <w:szCs w:val="18"/>
    </w:rPr>
  </w:style>
  <w:style w:type="character" w:customStyle="1" w:styleId="16">
    <w:name w:val="页眉 字符1"/>
    <w:link w:val="a8"/>
    <w:uiPriority w:val="99"/>
    <w:qFormat/>
    <w:rPr>
      <w:rFonts w:ascii="Times New Roman" w:eastAsia="宋体" w:hAnsi="Times New Roman" w:cs="Times New Roman"/>
      <w:sz w:val="18"/>
      <w:szCs w:val="18"/>
    </w:rPr>
  </w:style>
  <w:style w:type="character" w:customStyle="1" w:styleId="20">
    <w:name w:val="脚注文本 字符2"/>
    <w:link w:val="a9"/>
    <w:uiPriority w:val="99"/>
    <w:semiHidden/>
    <w:qFormat/>
    <w:rPr>
      <w:rFonts w:ascii="Times New Roman" w:eastAsia="宋体" w:hAnsi="Times New Roman" w:cs="Times New Roman"/>
      <w:kern w:val="2"/>
      <w:sz w:val="18"/>
      <w:szCs w:val="18"/>
    </w:rPr>
  </w:style>
  <w:style w:type="character" w:customStyle="1" w:styleId="17">
    <w:name w:val="批注主题 字符1"/>
    <w:link w:val="ab"/>
    <w:uiPriority w:val="99"/>
    <w:semiHidden/>
    <w:qFormat/>
    <w:rPr>
      <w:rFonts w:ascii="Times New Roman" w:eastAsia="宋体" w:hAnsi="Times New Roman"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2033</Words>
  <Characters>11590</Characters>
  <Application>Microsoft Office Word</Application>
  <DocSecurity>0</DocSecurity>
  <Lines>96</Lines>
  <Paragraphs>27</Paragraphs>
  <ScaleCrop>false</ScaleCrop>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俞怡(8812600)</cp:lastModifiedBy>
  <cp:revision>51</cp:revision>
  <cp:lastPrinted>2024-07-15T08:58:00Z</cp:lastPrinted>
  <dcterms:created xsi:type="dcterms:W3CDTF">2024-05-11T09:26:00Z</dcterms:created>
  <dcterms:modified xsi:type="dcterms:W3CDTF">2026-08-04T07:00:00Z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