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6 -->
  <w:body>
    <w:p w:rsidR="00893436" w:rsidRPr="0068321B" w:rsidP="00812228">
      <w:pPr>
        <w:widowControl/>
        <w:jc w:val="center"/>
        <w:rPr>
          <w:rFonts w:eastAsiaTheme="minorEastAsia"/>
          <w:b/>
          <w:kern w:val="0"/>
          <w:sz w:val="30"/>
          <w:szCs w:val="30"/>
        </w:rPr>
      </w:pPr>
      <w:r w:rsidRPr="0068321B">
        <w:rPr>
          <w:rFonts w:eastAsiaTheme="minorEastAsia"/>
          <w:b/>
          <w:kern w:val="0"/>
          <w:sz w:val="30"/>
          <w:szCs w:val="30"/>
        </w:rPr>
        <w:t>易方达中债</w:t>
      </w:r>
      <w:r w:rsidRPr="0068321B">
        <w:rPr>
          <w:rFonts w:eastAsiaTheme="minorEastAsia"/>
          <w:b/>
          <w:kern w:val="0"/>
          <w:sz w:val="30"/>
          <w:szCs w:val="30"/>
        </w:rPr>
        <w:t>3-5</w:t>
      </w:r>
      <w:r w:rsidRPr="0068321B">
        <w:rPr>
          <w:rFonts w:eastAsiaTheme="minorEastAsia"/>
          <w:b/>
          <w:kern w:val="0"/>
          <w:sz w:val="30"/>
          <w:szCs w:val="30"/>
        </w:rPr>
        <w:t>年国开行债券指数证券投资基金分红公告</w:t>
      </w:r>
    </w:p>
    <w:p w:rsidR="00893436" w:rsidRPr="0068321B" w:rsidP="00812228">
      <w:pPr>
        <w:spacing w:line="560" w:lineRule="exact"/>
        <w:jc w:val="center"/>
        <w:rPr>
          <w:rFonts w:eastAsiaTheme="minorEastAsia"/>
          <w:b/>
          <w:color w:val="000000"/>
          <w:sz w:val="24"/>
          <w:szCs w:val="24"/>
        </w:rPr>
      </w:pPr>
      <w:r w:rsidRPr="0068321B">
        <w:rPr>
          <w:rFonts w:eastAsiaTheme="minorEastAsia"/>
          <w:b/>
          <w:color w:val="000000"/>
          <w:sz w:val="24"/>
          <w:szCs w:val="24"/>
        </w:rPr>
        <w:t>公告送出日期：</w:t>
      </w:r>
      <w:r w:rsidRPr="0068321B">
        <w:rPr>
          <w:rFonts w:eastAsiaTheme="minorEastAsia"/>
          <w:b/>
          <w:color w:val="000000"/>
          <w:sz w:val="24"/>
          <w:szCs w:val="24"/>
        </w:rPr>
        <w:t>2022</w:t>
      </w:r>
      <w:r w:rsidRPr="0068321B">
        <w:rPr>
          <w:rFonts w:eastAsiaTheme="minorEastAsia"/>
          <w:b/>
          <w:color w:val="000000"/>
          <w:sz w:val="24"/>
          <w:szCs w:val="24"/>
        </w:rPr>
        <w:t>年</w:t>
      </w:r>
      <w:r w:rsidRPr="0068321B">
        <w:rPr>
          <w:rFonts w:eastAsiaTheme="minorEastAsia"/>
          <w:b/>
          <w:color w:val="000000"/>
          <w:sz w:val="24"/>
          <w:szCs w:val="24"/>
        </w:rPr>
        <w:t>7</w:t>
      </w:r>
      <w:r w:rsidRPr="0068321B">
        <w:rPr>
          <w:rFonts w:eastAsiaTheme="minorEastAsia"/>
          <w:b/>
          <w:color w:val="000000"/>
          <w:sz w:val="24"/>
          <w:szCs w:val="24"/>
        </w:rPr>
        <w:t>月</w:t>
      </w:r>
      <w:r w:rsidRPr="0068321B">
        <w:rPr>
          <w:rFonts w:eastAsiaTheme="minorEastAsia"/>
          <w:b/>
          <w:color w:val="000000"/>
          <w:sz w:val="24"/>
          <w:szCs w:val="24"/>
        </w:rPr>
        <w:t>8</w:t>
      </w:r>
      <w:r w:rsidRPr="0068321B">
        <w:rPr>
          <w:rFonts w:eastAsiaTheme="minorEastAsia"/>
          <w:b/>
          <w:color w:val="000000"/>
          <w:sz w:val="24"/>
          <w:szCs w:val="24"/>
        </w:rPr>
        <w:t>日</w:t>
      </w:r>
    </w:p>
    <w:p w:rsidR="00893436" w:rsidRPr="0068321B" w:rsidP="00B14D73">
      <w:pPr>
        <w:spacing w:line="360" w:lineRule="auto"/>
        <w:jc w:val="center"/>
        <w:rPr>
          <w:rFonts w:eastAsiaTheme="minorEastAsia"/>
          <w:color w:val="000000"/>
          <w:sz w:val="24"/>
        </w:rPr>
      </w:pPr>
    </w:p>
    <w:p w:rsidR="00893436" w:rsidRPr="0068321B" w:rsidP="00812228">
      <w:pPr>
        <w:pStyle w:val="Heading3"/>
        <w:keepNext w:val="0"/>
        <w:keepLines w:val="0"/>
        <w:spacing w:before="0" w:after="0" w:line="360" w:lineRule="auto"/>
        <w:rPr>
          <w:rFonts w:eastAsiaTheme="minorEastAsia"/>
          <w:bCs w:val="0"/>
          <w:sz w:val="24"/>
          <w:szCs w:val="24"/>
        </w:rPr>
      </w:pPr>
      <w:bookmarkStart w:id="0" w:name="_Toc275961418"/>
      <w:r w:rsidRPr="0068321B">
        <w:rPr>
          <w:rFonts w:eastAsiaTheme="minorEastAsia"/>
          <w:bCs w:val="0"/>
          <w:sz w:val="24"/>
          <w:szCs w:val="24"/>
        </w:rPr>
        <w:t>1.</w:t>
      </w:r>
      <w:r w:rsidRPr="0068321B">
        <w:rPr>
          <w:rFonts w:eastAsiaTheme="minorEastAsia"/>
          <w:bCs w:val="0"/>
          <w:sz w:val="24"/>
          <w:szCs w:val="24"/>
        </w:rPr>
        <w:t>公告基本信息</w:t>
      </w:r>
      <w:bookmarkEnd w:id="0"/>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2214"/>
        <w:gridCol w:w="2706"/>
        <w:gridCol w:w="2706"/>
      </w:tblGrid>
      <w:tr w:rsidTr="00820E11">
        <w:tblPrEx>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4194" w:type="dxa"/>
            <w:gridSpan w:val="2"/>
          </w:tcPr>
          <w:p w:rsidR="00D82E8A" w:rsidRPr="0068321B" w:rsidP="00820E11">
            <w:pPr>
              <w:rPr>
                <w:rFonts w:eastAsiaTheme="minorEastAsia"/>
                <w:sz w:val="24"/>
                <w:szCs w:val="24"/>
              </w:rPr>
            </w:pPr>
            <w:r w:rsidRPr="0068321B">
              <w:rPr>
                <w:rFonts w:eastAsiaTheme="minorEastAsia"/>
                <w:sz w:val="24"/>
                <w:szCs w:val="24"/>
              </w:rPr>
              <w:t>基金名称</w:t>
            </w:r>
          </w:p>
        </w:tc>
        <w:tc>
          <w:tcPr>
            <w:tcW w:w="5412" w:type="dxa"/>
            <w:gridSpan w:val="2"/>
            <w:vAlign w:val="center"/>
          </w:tcPr>
          <w:p w:rsidR="00D82E8A" w:rsidRPr="0068321B" w:rsidP="00820E11">
            <w:pPr>
              <w:rPr>
                <w:rFonts w:eastAsiaTheme="minorEastAsia"/>
                <w:sz w:val="24"/>
                <w:szCs w:val="24"/>
              </w:rPr>
            </w:pPr>
            <w:r w:rsidRPr="0068321B">
              <w:rPr>
                <w:rFonts w:eastAsiaTheme="minorEastAsia"/>
                <w:sz w:val="24"/>
                <w:szCs w:val="24"/>
              </w:rPr>
              <w:t>易方达中债</w:t>
            </w:r>
            <w:r w:rsidRPr="0068321B">
              <w:rPr>
                <w:rFonts w:eastAsiaTheme="minorEastAsia"/>
                <w:sz w:val="24"/>
                <w:szCs w:val="24"/>
              </w:rPr>
              <w:t>3-5</w:t>
            </w:r>
            <w:r w:rsidRPr="0068321B">
              <w:rPr>
                <w:rFonts w:eastAsiaTheme="minorEastAsia"/>
                <w:sz w:val="24"/>
                <w:szCs w:val="24"/>
              </w:rPr>
              <w:t>年国开行债券指数证券投资基金</w:t>
            </w:r>
          </w:p>
        </w:tc>
      </w:tr>
      <w:tr w:rsidTr="00820E11">
        <w:tblPrEx>
          <w:tblW w:w="9606" w:type="dxa"/>
          <w:jc w:val="center"/>
          <w:tblLayout w:type="fixed"/>
          <w:tblLook w:val="0000"/>
        </w:tblPrEx>
        <w:trPr>
          <w:jc w:val="center"/>
        </w:trPr>
        <w:tc>
          <w:tcPr>
            <w:tcW w:w="4194" w:type="dxa"/>
            <w:gridSpan w:val="2"/>
          </w:tcPr>
          <w:p w:rsidR="00D82E8A" w:rsidRPr="0068321B" w:rsidP="00820E11">
            <w:pPr>
              <w:rPr>
                <w:rFonts w:eastAsiaTheme="minorEastAsia"/>
                <w:sz w:val="24"/>
                <w:szCs w:val="24"/>
              </w:rPr>
            </w:pPr>
            <w:r w:rsidRPr="0068321B">
              <w:rPr>
                <w:rFonts w:eastAsiaTheme="minorEastAsia"/>
                <w:sz w:val="24"/>
                <w:szCs w:val="24"/>
              </w:rPr>
              <w:t>基金简称</w:t>
            </w:r>
          </w:p>
        </w:tc>
        <w:tc>
          <w:tcPr>
            <w:tcW w:w="5412" w:type="dxa"/>
            <w:gridSpan w:val="2"/>
            <w:vAlign w:val="center"/>
          </w:tcPr>
          <w:p w:rsidR="00D82E8A" w:rsidRPr="0068321B" w:rsidP="00820E11">
            <w:pPr>
              <w:rPr>
                <w:rFonts w:eastAsiaTheme="minorEastAsia"/>
                <w:sz w:val="24"/>
                <w:szCs w:val="24"/>
              </w:rPr>
            </w:pPr>
            <w:r w:rsidRPr="0068321B">
              <w:rPr>
                <w:rFonts w:eastAsiaTheme="minorEastAsia"/>
                <w:sz w:val="24"/>
                <w:szCs w:val="24"/>
              </w:rPr>
              <w:t>易方达中债</w:t>
            </w:r>
            <w:r w:rsidRPr="0068321B">
              <w:rPr>
                <w:rFonts w:eastAsiaTheme="minorEastAsia"/>
                <w:sz w:val="24"/>
                <w:szCs w:val="24"/>
              </w:rPr>
              <w:t>3-5</w:t>
            </w:r>
            <w:r w:rsidRPr="0068321B">
              <w:rPr>
                <w:rFonts w:eastAsiaTheme="minorEastAsia"/>
                <w:sz w:val="24"/>
                <w:szCs w:val="24"/>
              </w:rPr>
              <w:t>年国开行债券指数</w:t>
            </w:r>
          </w:p>
        </w:tc>
      </w:tr>
      <w:tr w:rsidTr="00820E11">
        <w:tblPrEx>
          <w:tblW w:w="9606" w:type="dxa"/>
          <w:jc w:val="center"/>
          <w:tblLayout w:type="fixed"/>
          <w:tblLook w:val="0000"/>
        </w:tblPrEx>
        <w:trPr>
          <w:jc w:val="center"/>
        </w:trPr>
        <w:tc>
          <w:tcPr>
            <w:tcW w:w="4194" w:type="dxa"/>
            <w:gridSpan w:val="2"/>
          </w:tcPr>
          <w:p w:rsidR="00D82E8A" w:rsidRPr="0068321B" w:rsidP="00820E11">
            <w:pPr>
              <w:rPr>
                <w:rFonts w:eastAsiaTheme="minorEastAsia"/>
                <w:sz w:val="24"/>
                <w:szCs w:val="24"/>
              </w:rPr>
            </w:pPr>
            <w:r w:rsidRPr="0068321B">
              <w:rPr>
                <w:rFonts w:eastAsiaTheme="minorEastAsia"/>
                <w:sz w:val="24"/>
                <w:szCs w:val="24"/>
              </w:rPr>
              <w:t>基金主代码</w:t>
            </w:r>
          </w:p>
        </w:tc>
        <w:tc>
          <w:tcPr>
            <w:tcW w:w="5412" w:type="dxa"/>
            <w:gridSpan w:val="2"/>
            <w:vAlign w:val="center"/>
          </w:tcPr>
          <w:p w:rsidR="00D82E8A" w:rsidRPr="0068321B" w:rsidP="00820E11">
            <w:pPr>
              <w:rPr>
                <w:rFonts w:eastAsiaTheme="minorEastAsia"/>
                <w:sz w:val="24"/>
                <w:szCs w:val="24"/>
              </w:rPr>
            </w:pPr>
            <w:r w:rsidRPr="0068321B">
              <w:rPr>
                <w:rFonts w:eastAsiaTheme="minorEastAsia"/>
                <w:sz w:val="24"/>
                <w:szCs w:val="24"/>
              </w:rPr>
              <w:t>007171</w:t>
            </w:r>
          </w:p>
        </w:tc>
      </w:tr>
      <w:tr w:rsidTr="00820E11">
        <w:tblPrEx>
          <w:tblW w:w="9606" w:type="dxa"/>
          <w:jc w:val="center"/>
          <w:tblLayout w:type="fixed"/>
          <w:tblLook w:val="0000"/>
        </w:tblPrEx>
        <w:trPr>
          <w:jc w:val="center"/>
        </w:trPr>
        <w:tc>
          <w:tcPr>
            <w:tcW w:w="4194" w:type="dxa"/>
            <w:gridSpan w:val="2"/>
            <w:vAlign w:val="center"/>
          </w:tcPr>
          <w:p w:rsidR="00D82E8A" w:rsidRPr="0068321B" w:rsidP="00820E11">
            <w:pPr>
              <w:rPr>
                <w:rFonts w:eastAsiaTheme="minorEastAsia"/>
                <w:sz w:val="24"/>
                <w:szCs w:val="24"/>
              </w:rPr>
            </w:pPr>
            <w:r w:rsidRPr="0068321B">
              <w:rPr>
                <w:rFonts w:eastAsiaTheme="minorEastAsia"/>
                <w:sz w:val="24"/>
                <w:szCs w:val="24"/>
              </w:rPr>
              <w:t>基金合同生效日</w:t>
            </w:r>
          </w:p>
        </w:tc>
        <w:tc>
          <w:tcPr>
            <w:tcW w:w="5412" w:type="dxa"/>
            <w:gridSpan w:val="2"/>
            <w:vAlign w:val="center"/>
          </w:tcPr>
          <w:p w:rsidR="00D82E8A" w:rsidRPr="0068321B" w:rsidP="00820E11">
            <w:pPr>
              <w:rPr>
                <w:rFonts w:eastAsiaTheme="minorEastAsia"/>
                <w:sz w:val="24"/>
                <w:szCs w:val="24"/>
              </w:rPr>
            </w:pPr>
            <w:r w:rsidRPr="0068321B">
              <w:rPr>
                <w:rFonts w:eastAsiaTheme="minorEastAsia"/>
                <w:sz w:val="24"/>
                <w:szCs w:val="24"/>
              </w:rPr>
              <w:t>2019</w:t>
            </w:r>
            <w:r w:rsidRPr="0068321B">
              <w:rPr>
                <w:rFonts w:eastAsiaTheme="minorEastAsia"/>
                <w:sz w:val="24"/>
                <w:szCs w:val="24"/>
              </w:rPr>
              <w:t>年</w:t>
            </w:r>
            <w:r w:rsidRPr="0068321B">
              <w:rPr>
                <w:rFonts w:eastAsiaTheme="minorEastAsia"/>
                <w:sz w:val="24"/>
                <w:szCs w:val="24"/>
              </w:rPr>
              <w:t>7</w:t>
            </w:r>
            <w:r w:rsidRPr="0068321B">
              <w:rPr>
                <w:rFonts w:eastAsiaTheme="minorEastAsia"/>
                <w:sz w:val="24"/>
                <w:szCs w:val="24"/>
              </w:rPr>
              <w:t>月</w:t>
            </w:r>
            <w:r w:rsidRPr="0068321B">
              <w:rPr>
                <w:rFonts w:eastAsiaTheme="minorEastAsia"/>
                <w:sz w:val="24"/>
                <w:szCs w:val="24"/>
              </w:rPr>
              <w:t>8</w:t>
            </w:r>
            <w:r w:rsidRPr="0068321B">
              <w:rPr>
                <w:rFonts w:eastAsiaTheme="minorEastAsia"/>
                <w:sz w:val="24"/>
                <w:szCs w:val="24"/>
              </w:rPr>
              <w:t>日</w:t>
            </w:r>
          </w:p>
        </w:tc>
      </w:tr>
      <w:tr w:rsidTr="00820E11">
        <w:tblPrEx>
          <w:tblW w:w="9606" w:type="dxa"/>
          <w:jc w:val="center"/>
          <w:tblLayout w:type="fixed"/>
          <w:tblLook w:val="0000"/>
        </w:tblPrEx>
        <w:trPr>
          <w:jc w:val="center"/>
        </w:trPr>
        <w:tc>
          <w:tcPr>
            <w:tcW w:w="4194" w:type="dxa"/>
            <w:gridSpan w:val="2"/>
          </w:tcPr>
          <w:p w:rsidR="00D82E8A" w:rsidRPr="0068321B" w:rsidP="00820E11">
            <w:pPr>
              <w:rPr>
                <w:rFonts w:eastAsiaTheme="minorEastAsia"/>
                <w:sz w:val="24"/>
                <w:szCs w:val="24"/>
              </w:rPr>
            </w:pPr>
            <w:r w:rsidRPr="0068321B">
              <w:rPr>
                <w:rFonts w:eastAsiaTheme="minorEastAsia"/>
                <w:sz w:val="24"/>
                <w:szCs w:val="24"/>
              </w:rPr>
              <w:t>基金管理人名称</w:t>
            </w:r>
          </w:p>
        </w:tc>
        <w:tc>
          <w:tcPr>
            <w:tcW w:w="5412" w:type="dxa"/>
            <w:gridSpan w:val="2"/>
            <w:vAlign w:val="center"/>
          </w:tcPr>
          <w:p w:rsidR="00D82E8A" w:rsidRPr="0068321B" w:rsidP="00820E11">
            <w:pPr>
              <w:rPr>
                <w:rFonts w:eastAsiaTheme="minorEastAsia"/>
                <w:sz w:val="24"/>
                <w:szCs w:val="24"/>
              </w:rPr>
            </w:pPr>
            <w:r w:rsidRPr="0068321B">
              <w:rPr>
                <w:rFonts w:eastAsiaTheme="minorEastAsia"/>
                <w:sz w:val="24"/>
                <w:szCs w:val="24"/>
              </w:rPr>
              <w:t>易方达基金管理有限公司</w:t>
            </w:r>
          </w:p>
        </w:tc>
      </w:tr>
      <w:tr w:rsidTr="00820E11">
        <w:tblPrEx>
          <w:tblW w:w="9606" w:type="dxa"/>
          <w:jc w:val="center"/>
          <w:tblLayout w:type="fixed"/>
          <w:tblLook w:val="0000"/>
        </w:tblPrEx>
        <w:trPr>
          <w:jc w:val="center"/>
        </w:trPr>
        <w:tc>
          <w:tcPr>
            <w:tcW w:w="4194" w:type="dxa"/>
            <w:gridSpan w:val="2"/>
          </w:tcPr>
          <w:p w:rsidR="00D82E8A" w:rsidRPr="0068321B" w:rsidP="00820E11">
            <w:pPr>
              <w:rPr>
                <w:rFonts w:eastAsiaTheme="minorEastAsia"/>
                <w:sz w:val="24"/>
                <w:szCs w:val="24"/>
              </w:rPr>
            </w:pPr>
            <w:r w:rsidRPr="0068321B">
              <w:rPr>
                <w:rFonts w:eastAsiaTheme="minorEastAsia"/>
                <w:sz w:val="24"/>
                <w:szCs w:val="24"/>
              </w:rPr>
              <w:t>基金托管人名称</w:t>
            </w:r>
          </w:p>
        </w:tc>
        <w:tc>
          <w:tcPr>
            <w:tcW w:w="5412" w:type="dxa"/>
            <w:gridSpan w:val="2"/>
            <w:vAlign w:val="center"/>
          </w:tcPr>
          <w:p w:rsidR="00D82E8A" w:rsidRPr="0068321B" w:rsidP="00820E11">
            <w:pPr>
              <w:rPr>
                <w:rFonts w:eastAsiaTheme="minorEastAsia"/>
                <w:sz w:val="24"/>
                <w:szCs w:val="24"/>
              </w:rPr>
            </w:pPr>
            <w:r w:rsidRPr="0068321B">
              <w:rPr>
                <w:rFonts w:eastAsiaTheme="minorEastAsia"/>
                <w:sz w:val="24"/>
                <w:szCs w:val="24"/>
              </w:rPr>
              <w:t>中国建设银行股份有限公司</w:t>
            </w:r>
          </w:p>
        </w:tc>
      </w:tr>
      <w:tr w:rsidTr="00820E11">
        <w:tblPrEx>
          <w:tblW w:w="9606" w:type="dxa"/>
          <w:jc w:val="center"/>
          <w:tblLayout w:type="fixed"/>
          <w:tblLook w:val="0000"/>
        </w:tblPrEx>
        <w:trPr>
          <w:jc w:val="center"/>
        </w:trPr>
        <w:tc>
          <w:tcPr>
            <w:tcW w:w="4194" w:type="dxa"/>
            <w:gridSpan w:val="2"/>
          </w:tcPr>
          <w:p w:rsidR="00D82E8A" w:rsidRPr="0068321B" w:rsidP="00820E11">
            <w:pPr>
              <w:rPr>
                <w:rFonts w:eastAsiaTheme="minorEastAsia"/>
                <w:sz w:val="24"/>
                <w:szCs w:val="24"/>
              </w:rPr>
            </w:pPr>
            <w:r w:rsidRPr="0068321B">
              <w:rPr>
                <w:rFonts w:eastAsiaTheme="minorEastAsia"/>
                <w:sz w:val="24"/>
                <w:szCs w:val="24"/>
              </w:rPr>
              <w:t>公告依据</w:t>
            </w:r>
          </w:p>
        </w:tc>
        <w:tc>
          <w:tcPr>
            <w:tcW w:w="5412" w:type="dxa"/>
            <w:gridSpan w:val="2"/>
            <w:vAlign w:val="center"/>
          </w:tcPr>
          <w:p w:rsidR="00D82E8A" w:rsidRPr="0068321B" w:rsidP="00820E11">
            <w:pPr>
              <w:rPr>
                <w:rFonts w:eastAsiaTheme="minorEastAsia"/>
                <w:sz w:val="24"/>
                <w:szCs w:val="24"/>
              </w:rPr>
            </w:pPr>
            <w:r w:rsidRPr="0068321B">
              <w:rPr>
                <w:rFonts w:eastAsiaTheme="minorEastAsia"/>
                <w:sz w:val="24"/>
                <w:szCs w:val="24"/>
              </w:rPr>
              <w:t>《公开募集证券投资基金信息披露管理办法》、《易方达中债</w:t>
            </w:r>
            <w:r w:rsidRPr="0068321B">
              <w:rPr>
                <w:rFonts w:eastAsiaTheme="minorEastAsia"/>
                <w:sz w:val="24"/>
                <w:szCs w:val="24"/>
              </w:rPr>
              <w:t>3-5</w:t>
            </w:r>
            <w:r w:rsidRPr="0068321B">
              <w:rPr>
                <w:rFonts w:eastAsiaTheme="minorEastAsia"/>
                <w:sz w:val="24"/>
                <w:szCs w:val="24"/>
              </w:rPr>
              <w:t>年国开行债券指数证券投资基金基金合同》、《易方达中债</w:t>
            </w:r>
            <w:r w:rsidRPr="0068321B">
              <w:rPr>
                <w:rFonts w:eastAsiaTheme="minorEastAsia"/>
                <w:sz w:val="24"/>
                <w:szCs w:val="24"/>
              </w:rPr>
              <w:t>3-5</w:t>
            </w:r>
            <w:r w:rsidRPr="0068321B">
              <w:rPr>
                <w:rFonts w:eastAsiaTheme="minorEastAsia"/>
                <w:sz w:val="24"/>
                <w:szCs w:val="24"/>
              </w:rPr>
              <w:t>年国开行债券指数证券投资基金更新的招募说明书》</w:t>
            </w:r>
          </w:p>
        </w:tc>
      </w:tr>
      <w:tr w:rsidTr="00820E11">
        <w:tblPrEx>
          <w:tblW w:w="9606" w:type="dxa"/>
          <w:jc w:val="center"/>
          <w:tblLayout w:type="fixed"/>
          <w:tblLook w:val="0000"/>
        </w:tblPrEx>
        <w:trPr>
          <w:jc w:val="center"/>
        </w:trPr>
        <w:tc>
          <w:tcPr>
            <w:tcW w:w="4194" w:type="dxa"/>
            <w:gridSpan w:val="2"/>
          </w:tcPr>
          <w:p w:rsidR="00D82E8A" w:rsidRPr="0068321B" w:rsidP="00820E11">
            <w:pPr>
              <w:rPr>
                <w:rFonts w:eastAsiaTheme="minorEastAsia"/>
                <w:sz w:val="24"/>
                <w:szCs w:val="24"/>
              </w:rPr>
            </w:pPr>
            <w:r w:rsidRPr="0068321B">
              <w:rPr>
                <w:rFonts w:eastAsiaTheme="minorEastAsia"/>
                <w:sz w:val="24"/>
                <w:szCs w:val="24"/>
              </w:rPr>
              <w:t>收益分配基准日</w:t>
            </w:r>
          </w:p>
        </w:tc>
        <w:tc>
          <w:tcPr>
            <w:tcW w:w="5412" w:type="dxa"/>
            <w:gridSpan w:val="2"/>
          </w:tcPr>
          <w:p w:rsidR="00D82E8A" w:rsidRPr="0068321B" w:rsidP="00820E11">
            <w:pPr>
              <w:rPr>
                <w:rFonts w:eastAsiaTheme="minorEastAsia"/>
                <w:sz w:val="24"/>
                <w:szCs w:val="24"/>
              </w:rPr>
            </w:pPr>
            <w:r w:rsidRPr="0068321B">
              <w:rPr>
                <w:rFonts w:eastAsiaTheme="minorEastAsia"/>
                <w:sz w:val="24"/>
                <w:szCs w:val="24"/>
              </w:rPr>
              <w:t>2022</w:t>
            </w:r>
            <w:r w:rsidRPr="0068321B">
              <w:rPr>
                <w:rFonts w:eastAsiaTheme="minorEastAsia"/>
                <w:sz w:val="24"/>
                <w:szCs w:val="24"/>
              </w:rPr>
              <w:t>年</w:t>
            </w:r>
            <w:r w:rsidRPr="0068321B">
              <w:rPr>
                <w:rFonts w:eastAsiaTheme="minorEastAsia"/>
                <w:sz w:val="24"/>
                <w:szCs w:val="24"/>
              </w:rPr>
              <w:t>6</w:t>
            </w:r>
            <w:r w:rsidRPr="0068321B">
              <w:rPr>
                <w:rFonts w:eastAsiaTheme="minorEastAsia"/>
                <w:sz w:val="24"/>
                <w:szCs w:val="24"/>
              </w:rPr>
              <w:t>月</w:t>
            </w:r>
            <w:r w:rsidRPr="0068321B">
              <w:rPr>
                <w:rFonts w:eastAsiaTheme="minorEastAsia"/>
                <w:sz w:val="24"/>
                <w:szCs w:val="24"/>
              </w:rPr>
              <w:t>30</w:t>
            </w:r>
            <w:r w:rsidRPr="0068321B">
              <w:rPr>
                <w:rFonts w:eastAsiaTheme="minorEastAsia"/>
                <w:sz w:val="24"/>
                <w:szCs w:val="24"/>
              </w:rPr>
              <w:t>日</w:t>
            </w:r>
          </w:p>
        </w:tc>
      </w:tr>
      <w:tr w:rsidTr="00B14D73">
        <w:tblPrEx>
          <w:tblW w:w="9606" w:type="dxa"/>
          <w:jc w:val="center"/>
          <w:tblLayout w:type="fixed"/>
          <w:tblLook w:val="0000"/>
        </w:tblPrEx>
        <w:trPr>
          <w:jc w:val="center"/>
        </w:trPr>
        <w:tc>
          <w:tcPr>
            <w:tcW w:w="4194" w:type="dxa"/>
            <w:gridSpan w:val="2"/>
            <w:vAlign w:val="center"/>
          </w:tcPr>
          <w:p w:rsidR="00893436" w:rsidRPr="0068321B" w:rsidP="0007182D">
            <w:pPr>
              <w:rPr>
                <w:rFonts w:eastAsiaTheme="minorEastAsia"/>
                <w:sz w:val="24"/>
                <w:szCs w:val="24"/>
              </w:rPr>
            </w:pPr>
            <w:r w:rsidRPr="0068321B">
              <w:rPr>
                <w:rFonts w:eastAsiaTheme="minorEastAsia"/>
                <w:sz w:val="24"/>
                <w:szCs w:val="24"/>
              </w:rPr>
              <w:t>有关年度分红次数的说明</w:t>
            </w:r>
          </w:p>
        </w:tc>
        <w:tc>
          <w:tcPr>
            <w:tcW w:w="5412" w:type="dxa"/>
            <w:gridSpan w:val="2"/>
            <w:vAlign w:val="center"/>
          </w:tcPr>
          <w:p w:rsidR="00893436" w:rsidRPr="0068321B" w:rsidP="0007182D">
            <w:pPr>
              <w:rPr>
                <w:rFonts w:eastAsiaTheme="minorEastAsia"/>
                <w:sz w:val="24"/>
                <w:szCs w:val="24"/>
              </w:rPr>
            </w:pPr>
            <w:r w:rsidRPr="0068321B">
              <w:rPr>
                <w:rFonts w:eastAsiaTheme="minorEastAsia"/>
                <w:sz w:val="24"/>
                <w:szCs w:val="24"/>
              </w:rPr>
              <w:t>本次分红为</w:t>
            </w:r>
            <w:r w:rsidRPr="0068321B">
              <w:rPr>
                <w:rFonts w:eastAsiaTheme="minorEastAsia"/>
                <w:sz w:val="24"/>
                <w:szCs w:val="24"/>
              </w:rPr>
              <w:t>2022</w:t>
            </w:r>
            <w:r w:rsidRPr="0068321B">
              <w:rPr>
                <w:rFonts w:eastAsiaTheme="minorEastAsia"/>
                <w:sz w:val="24"/>
                <w:szCs w:val="24"/>
              </w:rPr>
              <w:t>年度的第</w:t>
            </w:r>
            <w:r w:rsidRPr="0068321B">
              <w:rPr>
                <w:rFonts w:eastAsiaTheme="minorEastAsia"/>
                <w:sz w:val="24"/>
                <w:szCs w:val="24"/>
              </w:rPr>
              <w:t>2</w:t>
            </w:r>
            <w:r w:rsidRPr="0068321B">
              <w:rPr>
                <w:rFonts w:eastAsiaTheme="minorEastAsia"/>
                <w:sz w:val="24"/>
                <w:szCs w:val="24"/>
              </w:rPr>
              <w:t>次分红</w:t>
            </w:r>
          </w:p>
        </w:tc>
      </w:tr>
      <w:tr w:rsidTr="00B14D73">
        <w:tblPrEx>
          <w:tblW w:w="9606" w:type="dxa"/>
          <w:jc w:val="center"/>
          <w:tblLayout w:type="fixed"/>
          <w:tblLook w:val="0000"/>
        </w:tblPrEx>
        <w:trPr>
          <w:jc w:val="center"/>
        </w:trPr>
        <w:tc>
          <w:tcPr>
            <w:tcW w:w="4194" w:type="dxa"/>
            <w:gridSpan w:val="2"/>
          </w:tcPr>
          <w:p w:rsidR="00266A99" w:rsidRPr="0068321B" w:rsidP="0007182D">
            <w:pPr>
              <w:rPr>
                <w:rFonts w:eastAsiaTheme="minorEastAsia"/>
                <w:sz w:val="24"/>
                <w:szCs w:val="24"/>
              </w:rPr>
            </w:pPr>
            <w:r w:rsidRPr="0068321B">
              <w:rPr>
                <w:rFonts w:eastAsiaTheme="minorEastAsia"/>
                <w:sz w:val="24"/>
                <w:szCs w:val="24"/>
              </w:rPr>
              <w:t>下属分级基金的基金简称</w:t>
            </w:r>
          </w:p>
        </w:tc>
        <w:tc>
          <w:tcPr>
            <w:tcW w:w="2706" w:type="dxa"/>
          </w:tcPr>
          <w:p w:rsidR="00266A99" w:rsidRPr="0068321B" w:rsidP="0007182D">
            <w:pPr>
              <w:rPr>
                <w:rFonts w:eastAsiaTheme="minorEastAsia"/>
                <w:sz w:val="24"/>
                <w:szCs w:val="24"/>
              </w:rPr>
            </w:pPr>
            <w:r w:rsidRPr="0068321B">
              <w:rPr>
                <w:rFonts w:eastAsiaTheme="minorEastAsia"/>
                <w:sz w:val="24"/>
                <w:szCs w:val="24"/>
              </w:rPr>
              <w:t>易方达中债</w:t>
            </w:r>
            <w:r w:rsidRPr="0068321B">
              <w:rPr>
                <w:rFonts w:eastAsiaTheme="minorEastAsia"/>
                <w:sz w:val="24"/>
                <w:szCs w:val="24"/>
              </w:rPr>
              <w:t>3-5</w:t>
            </w:r>
            <w:r w:rsidRPr="0068321B">
              <w:rPr>
                <w:rFonts w:eastAsiaTheme="minorEastAsia"/>
                <w:sz w:val="24"/>
                <w:szCs w:val="24"/>
              </w:rPr>
              <w:t>年国开行债券指数</w:t>
            </w:r>
            <w:r w:rsidRPr="0068321B">
              <w:rPr>
                <w:rFonts w:eastAsiaTheme="minorEastAsia"/>
                <w:sz w:val="24"/>
                <w:szCs w:val="24"/>
              </w:rPr>
              <w:t>A</w:t>
            </w:r>
          </w:p>
        </w:tc>
        <w:tc>
          <w:tcPr>
            <w:tcW w:w="2706" w:type="dxa"/>
          </w:tcPr>
          <w:p w:rsidR="00266A99" w:rsidRPr="0068321B" w:rsidP="0007182D">
            <w:pPr>
              <w:rPr>
                <w:rFonts w:eastAsiaTheme="minorEastAsia"/>
                <w:sz w:val="24"/>
                <w:szCs w:val="24"/>
              </w:rPr>
            </w:pPr>
            <w:r w:rsidRPr="0068321B">
              <w:rPr>
                <w:rFonts w:eastAsiaTheme="minorEastAsia"/>
                <w:sz w:val="24"/>
                <w:szCs w:val="24"/>
              </w:rPr>
              <w:t>易方达中债</w:t>
            </w:r>
            <w:r w:rsidRPr="0068321B">
              <w:rPr>
                <w:rFonts w:eastAsiaTheme="minorEastAsia"/>
                <w:sz w:val="24"/>
                <w:szCs w:val="24"/>
              </w:rPr>
              <w:t>3-5</w:t>
            </w:r>
            <w:r w:rsidRPr="0068321B">
              <w:rPr>
                <w:rFonts w:eastAsiaTheme="minorEastAsia"/>
                <w:sz w:val="24"/>
                <w:szCs w:val="24"/>
              </w:rPr>
              <w:t>年国开行债券指数</w:t>
            </w:r>
            <w:r w:rsidRPr="0068321B">
              <w:rPr>
                <w:rFonts w:eastAsiaTheme="minorEastAsia"/>
                <w:sz w:val="24"/>
                <w:szCs w:val="24"/>
              </w:rPr>
              <w:t>C</w:t>
            </w:r>
          </w:p>
        </w:tc>
      </w:tr>
      <w:tr w:rsidTr="00B14D73">
        <w:tblPrEx>
          <w:tblW w:w="9606" w:type="dxa"/>
          <w:jc w:val="center"/>
          <w:tblLayout w:type="fixed"/>
          <w:tblLook w:val="0000"/>
        </w:tblPrEx>
        <w:trPr>
          <w:jc w:val="center"/>
        </w:trPr>
        <w:tc>
          <w:tcPr>
            <w:tcW w:w="4194" w:type="dxa"/>
            <w:gridSpan w:val="2"/>
          </w:tcPr>
          <w:p w:rsidR="00266A99" w:rsidRPr="0068321B" w:rsidP="0007182D">
            <w:pPr>
              <w:rPr>
                <w:rFonts w:eastAsiaTheme="minorEastAsia"/>
                <w:sz w:val="24"/>
                <w:szCs w:val="24"/>
              </w:rPr>
            </w:pPr>
            <w:r w:rsidRPr="0068321B">
              <w:rPr>
                <w:rFonts w:eastAsiaTheme="minorEastAsia"/>
                <w:sz w:val="24"/>
                <w:szCs w:val="24"/>
              </w:rPr>
              <w:t>下属分级基金的交易代码</w:t>
            </w:r>
          </w:p>
        </w:tc>
        <w:tc>
          <w:tcPr>
            <w:tcW w:w="2706" w:type="dxa"/>
          </w:tcPr>
          <w:p w:rsidR="00266A99" w:rsidRPr="0068321B" w:rsidP="0007182D">
            <w:pPr>
              <w:rPr>
                <w:rFonts w:eastAsiaTheme="minorEastAsia"/>
                <w:sz w:val="24"/>
                <w:szCs w:val="24"/>
              </w:rPr>
            </w:pPr>
            <w:r w:rsidRPr="0068321B">
              <w:rPr>
                <w:rFonts w:eastAsiaTheme="minorEastAsia"/>
                <w:sz w:val="24"/>
                <w:szCs w:val="24"/>
              </w:rPr>
              <w:t>007171</w:t>
            </w:r>
          </w:p>
        </w:tc>
        <w:tc>
          <w:tcPr>
            <w:tcW w:w="2706" w:type="dxa"/>
          </w:tcPr>
          <w:p w:rsidR="00266A99" w:rsidRPr="0068321B" w:rsidP="0007182D">
            <w:pPr>
              <w:rPr>
                <w:rFonts w:eastAsiaTheme="minorEastAsia"/>
                <w:sz w:val="24"/>
                <w:szCs w:val="24"/>
              </w:rPr>
            </w:pPr>
            <w:r w:rsidRPr="0068321B">
              <w:rPr>
                <w:rFonts w:eastAsiaTheme="minorEastAsia"/>
                <w:sz w:val="24"/>
                <w:szCs w:val="24"/>
              </w:rPr>
              <w:t>007172</w:t>
            </w:r>
          </w:p>
        </w:tc>
      </w:tr>
      <w:tr w:rsidTr="00B14D73">
        <w:tblPrEx>
          <w:tblW w:w="9606" w:type="dxa"/>
          <w:jc w:val="center"/>
          <w:tblLayout w:type="fixed"/>
          <w:tblLook w:val="0000"/>
        </w:tblPrEx>
        <w:trPr>
          <w:jc w:val="center"/>
        </w:trPr>
        <w:tc>
          <w:tcPr>
            <w:tcW w:w="1980" w:type="dxa"/>
            <w:vMerge w:val="restart"/>
            <w:vAlign w:val="center"/>
          </w:tcPr>
          <w:p w:rsidR="000C169A" w:rsidRPr="0068321B" w:rsidP="0007182D">
            <w:pPr>
              <w:rPr>
                <w:rFonts w:eastAsiaTheme="minorEastAsia"/>
                <w:sz w:val="24"/>
                <w:szCs w:val="24"/>
              </w:rPr>
            </w:pPr>
            <w:r w:rsidRPr="0068321B">
              <w:rPr>
                <w:rFonts w:eastAsiaTheme="minorEastAsia"/>
                <w:sz w:val="24"/>
                <w:szCs w:val="24"/>
              </w:rPr>
              <w:t>截止基准日下属分级基金的相关指标</w:t>
            </w:r>
          </w:p>
        </w:tc>
        <w:tc>
          <w:tcPr>
            <w:tcW w:w="2214" w:type="dxa"/>
          </w:tcPr>
          <w:p w:rsidR="000C169A" w:rsidRPr="0068321B" w:rsidP="0007182D">
            <w:pPr>
              <w:rPr>
                <w:rFonts w:eastAsiaTheme="minorEastAsia"/>
                <w:sz w:val="24"/>
                <w:szCs w:val="24"/>
              </w:rPr>
            </w:pPr>
            <w:r w:rsidRPr="0068321B">
              <w:rPr>
                <w:rFonts w:eastAsiaTheme="minorEastAsia"/>
                <w:sz w:val="24"/>
                <w:szCs w:val="24"/>
              </w:rPr>
              <w:t>基准日下属分级基金份额净值（单位：元）</w:t>
            </w:r>
          </w:p>
        </w:tc>
        <w:tc>
          <w:tcPr>
            <w:tcW w:w="2706" w:type="dxa"/>
          </w:tcPr>
          <w:p w:rsidR="000C169A" w:rsidRPr="0068321B" w:rsidP="0007182D">
            <w:pPr>
              <w:rPr>
                <w:rFonts w:eastAsiaTheme="minorEastAsia"/>
                <w:sz w:val="24"/>
                <w:szCs w:val="24"/>
              </w:rPr>
            </w:pPr>
            <w:r w:rsidRPr="0068321B">
              <w:rPr>
                <w:rFonts w:eastAsiaTheme="minorEastAsia"/>
                <w:sz w:val="24"/>
                <w:szCs w:val="24"/>
              </w:rPr>
              <w:t>1.0087</w:t>
            </w:r>
          </w:p>
        </w:tc>
        <w:tc>
          <w:tcPr>
            <w:tcW w:w="2706" w:type="dxa"/>
          </w:tcPr>
          <w:p w:rsidR="000C169A" w:rsidRPr="0068321B" w:rsidP="0007182D">
            <w:pPr>
              <w:rPr>
                <w:rFonts w:eastAsiaTheme="minorEastAsia"/>
                <w:sz w:val="24"/>
                <w:szCs w:val="24"/>
              </w:rPr>
            </w:pPr>
            <w:r w:rsidRPr="0068321B">
              <w:rPr>
                <w:rFonts w:eastAsiaTheme="minorEastAsia"/>
                <w:sz w:val="24"/>
                <w:szCs w:val="24"/>
              </w:rPr>
              <w:t>1.0085</w:t>
            </w:r>
          </w:p>
        </w:tc>
      </w:tr>
      <w:tr w:rsidTr="00B14D73">
        <w:tblPrEx>
          <w:tblW w:w="9606" w:type="dxa"/>
          <w:jc w:val="center"/>
          <w:tblLayout w:type="fixed"/>
          <w:tblLook w:val="0000"/>
        </w:tblPrEx>
        <w:trPr>
          <w:trHeight w:val="405"/>
          <w:jc w:val="center"/>
        </w:trPr>
        <w:tc>
          <w:tcPr>
            <w:tcW w:w="1980" w:type="dxa"/>
            <w:vMerge/>
          </w:tcPr>
          <w:p w:rsidR="000C169A" w:rsidRPr="0068321B" w:rsidP="0007182D">
            <w:pPr>
              <w:rPr>
                <w:rFonts w:eastAsiaTheme="minorEastAsia"/>
                <w:sz w:val="24"/>
                <w:szCs w:val="24"/>
              </w:rPr>
            </w:pPr>
          </w:p>
        </w:tc>
        <w:tc>
          <w:tcPr>
            <w:tcW w:w="2214" w:type="dxa"/>
            <w:vAlign w:val="center"/>
          </w:tcPr>
          <w:p w:rsidR="000C169A" w:rsidRPr="0068321B" w:rsidP="0007182D">
            <w:pPr>
              <w:rPr>
                <w:rFonts w:eastAsiaTheme="minorEastAsia"/>
                <w:sz w:val="24"/>
                <w:szCs w:val="24"/>
              </w:rPr>
            </w:pPr>
            <w:r w:rsidRPr="0068321B">
              <w:rPr>
                <w:rFonts w:eastAsiaTheme="minorEastAsia"/>
                <w:sz w:val="24"/>
                <w:szCs w:val="24"/>
              </w:rPr>
              <w:t>基准日下属分级基金可供分配利润（单位：元）</w:t>
            </w:r>
          </w:p>
        </w:tc>
        <w:tc>
          <w:tcPr>
            <w:tcW w:w="2706" w:type="dxa"/>
          </w:tcPr>
          <w:p w:rsidR="000C169A" w:rsidRPr="0068321B" w:rsidP="0007182D">
            <w:pPr>
              <w:rPr>
                <w:rFonts w:eastAsiaTheme="minorEastAsia"/>
                <w:sz w:val="24"/>
                <w:szCs w:val="24"/>
              </w:rPr>
            </w:pPr>
            <w:r w:rsidRPr="0068321B">
              <w:rPr>
                <w:rFonts w:eastAsiaTheme="minorEastAsia"/>
                <w:sz w:val="24"/>
                <w:szCs w:val="24"/>
              </w:rPr>
              <w:t>36,501,422.28</w:t>
            </w:r>
          </w:p>
        </w:tc>
        <w:tc>
          <w:tcPr>
            <w:tcW w:w="2706" w:type="dxa"/>
          </w:tcPr>
          <w:p w:rsidR="000C169A" w:rsidRPr="0068321B" w:rsidP="0007182D">
            <w:pPr>
              <w:rPr>
                <w:rFonts w:eastAsiaTheme="minorEastAsia"/>
                <w:sz w:val="24"/>
                <w:szCs w:val="24"/>
              </w:rPr>
            </w:pPr>
            <w:r w:rsidRPr="0068321B">
              <w:rPr>
                <w:rFonts w:eastAsiaTheme="minorEastAsia"/>
                <w:sz w:val="24"/>
                <w:szCs w:val="24"/>
              </w:rPr>
              <w:t>2,191,539.42</w:t>
            </w:r>
          </w:p>
        </w:tc>
      </w:tr>
      <w:tr>
        <w:tblPrEx>
          <w:tblW w:w="9606" w:type="dxa"/>
          <w:jc w:val="center"/>
          <w:tblLayout w:type="fixed"/>
          <w:tblLook w:val="0000"/>
        </w:tblPrEx>
        <w:trPr>
          <w:jc w:val="center"/>
        </w:trPr>
        <w:tc>
          <w:tcPr>
            <w:tcW w:w="1980" w:type="dxa"/>
            <w:vMerge/>
          </w:tcPr>
          <w:p w:rsidR="005B6558"/>
        </w:tc>
        <w:tc>
          <w:tcPr>
            <w:tcW w:w="2214" w:type="dxa"/>
            <w:vAlign w:val="center"/>
          </w:tcPr>
          <w:p w:rsidR="005B6558">
            <w:pPr>
              <w:jc w:val="center"/>
            </w:pPr>
            <w:r>
              <w:rPr>
                <w:rFonts w:eastAsiaTheme="minorEastAsia"/>
                <w:sz w:val="24"/>
                <w:szCs w:val="24"/>
              </w:rPr>
              <w:t>截止基准日按照基金合同约定的分红比例计算的应分配金额（单位：元）</w:t>
            </w:r>
          </w:p>
        </w:tc>
        <w:tc>
          <w:tcPr>
            <w:tcW w:w="2706" w:type="dxa"/>
            <w:vAlign w:val="center"/>
          </w:tcPr>
          <w:p w:rsidR="005B6558">
            <w:pPr>
              <w:jc w:val="left"/>
            </w:pPr>
            <w:r>
              <w:rPr>
                <w:rFonts w:eastAsiaTheme="minorEastAsia"/>
                <w:sz w:val="24"/>
                <w:szCs w:val="24"/>
              </w:rPr>
              <w:t>32,851,280.06</w:t>
            </w:r>
          </w:p>
        </w:tc>
        <w:tc>
          <w:tcPr>
            <w:tcW w:w="2706" w:type="dxa"/>
            <w:vAlign w:val="center"/>
          </w:tcPr>
          <w:p w:rsidR="005B6558">
            <w:pPr>
              <w:jc w:val="left"/>
            </w:pPr>
            <w:r>
              <w:rPr>
                <w:rFonts w:eastAsiaTheme="minorEastAsia"/>
                <w:sz w:val="24"/>
                <w:szCs w:val="24"/>
              </w:rPr>
              <w:t>1,972,385.48</w:t>
            </w:r>
          </w:p>
        </w:tc>
      </w:tr>
      <w:tr w:rsidTr="00B14D73">
        <w:tblPrEx>
          <w:tblW w:w="9606" w:type="dxa"/>
          <w:jc w:val="center"/>
          <w:tblLayout w:type="fixed"/>
          <w:tblLook w:val="0000"/>
        </w:tblPrEx>
        <w:trPr>
          <w:jc w:val="center"/>
        </w:trPr>
        <w:tc>
          <w:tcPr>
            <w:tcW w:w="4194" w:type="dxa"/>
            <w:gridSpan w:val="2"/>
          </w:tcPr>
          <w:p w:rsidR="00266A99" w:rsidRPr="0068321B" w:rsidP="0007182D">
            <w:pPr>
              <w:rPr>
                <w:rFonts w:eastAsiaTheme="minorEastAsia"/>
                <w:sz w:val="24"/>
                <w:szCs w:val="24"/>
              </w:rPr>
            </w:pPr>
            <w:r w:rsidRPr="0068321B">
              <w:rPr>
                <w:rFonts w:eastAsiaTheme="minorEastAsia"/>
                <w:sz w:val="24"/>
                <w:szCs w:val="24"/>
              </w:rPr>
              <w:t>本次下属分级基金分红方案（单位：元</w:t>
            </w:r>
            <w:r w:rsidRPr="0068321B">
              <w:rPr>
                <w:rFonts w:eastAsiaTheme="minorEastAsia"/>
                <w:sz w:val="24"/>
                <w:szCs w:val="24"/>
              </w:rPr>
              <w:t>/10</w:t>
            </w:r>
            <w:r w:rsidRPr="0068321B">
              <w:rPr>
                <w:rFonts w:eastAsiaTheme="minorEastAsia"/>
                <w:sz w:val="24"/>
                <w:szCs w:val="24"/>
              </w:rPr>
              <w:t>份基金份额）</w:t>
            </w:r>
          </w:p>
        </w:tc>
        <w:tc>
          <w:tcPr>
            <w:tcW w:w="2706" w:type="dxa"/>
          </w:tcPr>
          <w:p w:rsidR="00266A99" w:rsidRPr="0068321B" w:rsidP="0007182D">
            <w:pPr>
              <w:rPr>
                <w:rFonts w:eastAsiaTheme="minorEastAsia"/>
                <w:sz w:val="24"/>
                <w:szCs w:val="24"/>
              </w:rPr>
            </w:pPr>
            <w:r w:rsidRPr="0068321B">
              <w:rPr>
                <w:rFonts w:eastAsiaTheme="minorEastAsia"/>
                <w:sz w:val="24"/>
                <w:szCs w:val="24"/>
              </w:rPr>
              <w:t>0.08</w:t>
            </w:r>
          </w:p>
        </w:tc>
        <w:tc>
          <w:tcPr>
            <w:tcW w:w="2706" w:type="dxa"/>
          </w:tcPr>
          <w:p w:rsidR="00266A99" w:rsidRPr="0068321B" w:rsidP="0007182D">
            <w:pPr>
              <w:rPr>
                <w:rFonts w:eastAsiaTheme="minorEastAsia"/>
                <w:sz w:val="24"/>
                <w:szCs w:val="24"/>
              </w:rPr>
            </w:pPr>
            <w:r w:rsidRPr="0068321B">
              <w:rPr>
                <w:rFonts w:eastAsiaTheme="minorEastAsia"/>
                <w:sz w:val="24"/>
                <w:szCs w:val="24"/>
              </w:rPr>
              <w:t>0.08</w:t>
            </w:r>
          </w:p>
        </w:tc>
      </w:tr>
    </w:tbl>
    <w:p w:rsidR="00893436" w:rsidRPr="0068321B" w:rsidP="00812228">
      <w:pPr>
        <w:spacing w:line="360" w:lineRule="auto"/>
        <w:ind w:firstLine="480" w:firstLineChars="200"/>
        <w:rPr>
          <w:rFonts w:eastAsiaTheme="minorEastAsia"/>
          <w:color w:val="000000"/>
          <w:sz w:val="24"/>
          <w:szCs w:val="24"/>
        </w:rPr>
      </w:pPr>
      <w:r w:rsidRPr="0068321B">
        <w:rPr>
          <w:rFonts w:eastAsiaTheme="minorEastAsia"/>
          <w:color w:val="000000"/>
          <w:sz w:val="24"/>
          <w:szCs w:val="24"/>
        </w:rPr>
        <w:t>注：根据《易方达中债</w:t>
      </w:r>
      <w:r w:rsidRPr="0068321B">
        <w:rPr>
          <w:rFonts w:eastAsiaTheme="minorEastAsia"/>
          <w:color w:val="000000"/>
          <w:sz w:val="24"/>
          <w:szCs w:val="24"/>
        </w:rPr>
        <w:t>3-5</w:t>
      </w:r>
      <w:r w:rsidRPr="0068321B">
        <w:rPr>
          <w:rFonts w:eastAsiaTheme="minorEastAsia"/>
          <w:color w:val="000000"/>
          <w:sz w:val="24"/>
          <w:szCs w:val="24"/>
        </w:rPr>
        <w:t>年国开行债券指数证券投资基金基金合同》规定，在符合有关基金分红条件的前提下，基金合同生效满</w:t>
      </w:r>
      <w:r w:rsidRPr="0068321B">
        <w:rPr>
          <w:rFonts w:eastAsiaTheme="minorEastAsia"/>
          <w:color w:val="000000"/>
          <w:sz w:val="24"/>
          <w:szCs w:val="24"/>
        </w:rPr>
        <w:t>3</w:t>
      </w:r>
      <w:r w:rsidRPr="0068321B">
        <w:rPr>
          <w:rFonts w:eastAsiaTheme="minorEastAsia"/>
          <w:color w:val="000000"/>
          <w:sz w:val="24"/>
          <w:szCs w:val="24"/>
        </w:rPr>
        <w:t>个月后，若基金在每季度最后一个交易日收盘后每</w:t>
      </w:r>
      <w:r w:rsidRPr="0068321B">
        <w:rPr>
          <w:rFonts w:eastAsiaTheme="minorEastAsia"/>
          <w:color w:val="000000"/>
          <w:sz w:val="24"/>
          <w:szCs w:val="24"/>
        </w:rPr>
        <w:t>10</w:t>
      </w:r>
      <w:r w:rsidRPr="0068321B">
        <w:rPr>
          <w:rFonts w:eastAsiaTheme="minorEastAsia"/>
          <w:color w:val="000000"/>
          <w:sz w:val="24"/>
          <w:szCs w:val="24"/>
        </w:rPr>
        <w:t>份基金份额可分配利润金额高于</w:t>
      </w:r>
      <w:r w:rsidRPr="0068321B">
        <w:rPr>
          <w:rFonts w:eastAsiaTheme="minorEastAsia"/>
          <w:color w:val="000000"/>
          <w:sz w:val="24"/>
          <w:szCs w:val="24"/>
        </w:rPr>
        <w:t>0.05</w:t>
      </w:r>
      <w:r w:rsidRPr="0068321B">
        <w:rPr>
          <w:rFonts w:eastAsiaTheme="minorEastAsia"/>
          <w:color w:val="000000"/>
          <w:sz w:val="24"/>
          <w:szCs w:val="24"/>
        </w:rPr>
        <w:t>元（含），则基金须进行收益分配，每份基金份额每次分配比例不得低于收益分配基准日每份基金份额可供分配利润的</w:t>
      </w:r>
      <w:r w:rsidRPr="0068321B">
        <w:rPr>
          <w:rFonts w:eastAsiaTheme="minorEastAsia"/>
          <w:color w:val="000000"/>
          <w:sz w:val="24"/>
          <w:szCs w:val="24"/>
        </w:rPr>
        <w:t>90%</w:t>
      </w:r>
      <w:r w:rsidRPr="0068321B">
        <w:rPr>
          <w:rFonts w:eastAsiaTheme="minorEastAsia"/>
          <w:color w:val="000000"/>
          <w:sz w:val="24"/>
          <w:szCs w:val="24"/>
        </w:rPr>
        <w:t>。</w:t>
      </w:r>
    </w:p>
    <w:p w:rsidR="00812228" w:rsidRPr="0068321B" w:rsidP="00B14D73">
      <w:pPr>
        <w:spacing w:line="360" w:lineRule="auto"/>
        <w:rPr>
          <w:rFonts w:eastAsiaTheme="minorEastAsia"/>
          <w:sz w:val="24"/>
          <w:szCs w:val="24"/>
        </w:rPr>
      </w:pPr>
    </w:p>
    <w:p w:rsidR="00893436" w:rsidRPr="0068321B" w:rsidP="00812228">
      <w:pPr>
        <w:pStyle w:val="Heading3"/>
        <w:keepNext w:val="0"/>
        <w:keepLines w:val="0"/>
        <w:spacing w:before="0" w:after="0" w:line="360" w:lineRule="auto"/>
        <w:rPr>
          <w:rFonts w:eastAsiaTheme="minorEastAsia"/>
          <w:bCs w:val="0"/>
          <w:sz w:val="24"/>
          <w:szCs w:val="24"/>
        </w:rPr>
      </w:pPr>
      <w:bookmarkStart w:id="1" w:name="_Toc275961419"/>
      <w:r w:rsidRPr="0068321B">
        <w:rPr>
          <w:rFonts w:eastAsiaTheme="minorEastAsia"/>
          <w:bCs w:val="0"/>
          <w:sz w:val="24"/>
          <w:szCs w:val="24"/>
        </w:rPr>
        <w:t>2.</w:t>
      </w:r>
      <w:r w:rsidRPr="0068321B">
        <w:rPr>
          <w:rFonts w:eastAsiaTheme="minorEastAsia"/>
          <w:bCs w:val="0"/>
          <w:sz w:val="24"/>
          <w:szCs w:val="24"/>
        </w:rPr>
        <w:t>与分红相关的其他信息</w:t>
      </w:r>
      <w:bookmarkEnd w:id="1"/>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2"/>
        <w:gridCol w:w="5978"/>
      </w:tblGrid>
      <w:tr w:rsidTr="00B14D73">
        <w:tblPrEx>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jc w:val="center"/>
        </w:trPr>
        <w:tc>
          <w:tcPr>
            <w:tcW w:w="3342" w:type="dxa"/>
          </w:tcPr>
          <w:p w:rsidR="00893436" w:rsidRPr="0068321B" w:rsidP="0007182D">
            <w:pPr>
              <w:rPr>
                <w:rFonts w:eastAsiaTheme="minorEastAsia"/>
                <w:sz w:val="24"/>
                <w:szCs w:val="24"/>
              </w:rPr>
            </w:pPr>
            <w:r w:rsidRPr="0068321B">
              <w:rPr>
                <w:rFonts w:eastAsiaTheme="minorEastAsia"/>
                <w:sz w:val="24"/>
                <w:szCs w:val="24"/>
              </w:rPr>
              <w:t>权益登记日</w:t>
            </w:r>
          </w:p>
        </w:tc>
        <w:tc>
          <w:tcPr>
            <w:tcW w:w="5978" w:type="dxa"/>
          </w:tcPr>
          <w:p w:rsidR="00893436" w:rsidRPr="0068321B" w:rsidP="0007182D">
            <w:pPr>
              <w:rPr>
                <w:rFonts w:eastAsiaTheme="minorEastAsia"/>
                <w:sz w:val="24"/>
                <w:szCs w:val="24"/>
              </w:rPr>
            </w:pPr>
            <w:r w:rsidRPr="0068321B">
              <w:rPr>
                <w:rFonts w:eastAsiaTheme="minorEastAsia"/>
                <w:sz w:val="24"/>
                <w:szCs w:val="24"/>
              </w:rPr>
              <w:t>2022</w:t>
            </w:r>
            <w:r w:rsidRPr="0068321B">
              <w:rPr>
                <w:rFonts w:eastAsiaTheme="minorEastAsia"/>
                <w:sz w:val="24"/>
                <w:szCs w:val="24"/>
              </w:rPr>
              <w:t>年</w:t>
            </w:r>
            <w:r w:rsidRPr="0068321B">
              <w:rPr>
                <w:rFonts w:eastAsiaTheme="minorEastAsia"/>
                <w:sz w:val="24"/>
                <w:szCs w:val="24"/>
              </w:rPr>
              <w:t>7</w:t>
            </w:r>
            <w:r w:rsidRPr="0068321B">
              <w:rPr>
                <w:rFonts w:eastAsiaTheme="minorEastAsia"/>
                <w:sz w:val="24"/>
                <w:szCs w:val="24"/>
              </w:rPr>
              <w:t>月</w:t>
            </w:r>
            <w:r w:rsidRPr="0068321B">
              <w:rPr>
                <w:rFonts w:eastAsiaTheme="minorEastAsia"/>
                <w:sz w:val="24"/>
                <w:szCs w:val="24"/>
              </w:rPr>
              <w:t>11</w:t>
            </w:r>
            <w:r w:rsidRPr="0068321B">
              <w:rPr>
                <w:rFonts w:eastAsiaTheme="minorEastAsia"/>
                <w:sz w:val="24"/>
                <w:szCs w:val="24"/>
              </w:rPr>
              <w:t>日</w:t>
            </w:r>
          </w:p>
        </w:tc>
      </w:tr>
      <w:tr w:rsidTr="00241904">
        <w:tblPrEx>
          <w:tblW w:w="9320" w:type="dxa"/>
          <w:jc w:val="center"/>
          <w:tblLayout w:type="fixed"/>
          <w:tblLook w:val="01E0"/>
        </w:tblPrEx>
        <w:trPr>
          <w:jc w:val="center"/>
        </w:trPr>
        <w:tc>
          <w:tcPr>
            <w:tcW w:w="3342" w:type="dxa"/>
          </w:tcPr>
          <w:p w:rsidR="0099338F" w:rsidRPr="0068321B" w:rsidP="0007182D">
            <w:pPr>
              <w:rPr>
                <w:rFonts w:eastAsiaTheme="minorEastAsia"/>
                <w:sz w:val="24"/>
                <w:szCs w:val="24"/>
              </w:rPr>
            </w:pPr>
            <w:r w:rsidRPr="0068321B">
              <w:rPr>
                <w:rFonts w:eastAsiaTheme="minorEastAsia"/>
                <w:sz w:val="24"/>
                <w:szCs w:val="24"/>
              </w:rPr>
              <w:t>除息日</w:t>
            </w:r>
          </w:p>
        </w:tc>
        <w:tc>
          <w:tcPr>
            <w:tcW w:w="2989" w:type="dxa"/>
          </w:tcPr>
          <w:p w:rsidR="0099338F" w:rsidRPr="0068321B" w:rsidP="00241904">
            <w:pPr>
              <w:rPr>
                <w:rFonts w:eastAsiaTheme="minorEastAsia"/>
                <w:sz w:val="24"/>
                <w:szCs w:val="24"/>
              </w:rPr>
            </w:pPr>
            <w:r w:rsidRPr="0068321B">
              <w:rPr>
                <w:rFonts w:eastAsiaTheme="minorEastAsia"/>
                <w:sz w:val="24"/>
                <w:szCs w:val="24"/>
              </w:rPr>
              <w:t>2022</w:t>
            </w:r>
            <w:r w:rsidRPr="0068321B">
              <w:rPr>
                <w:rFonts w:eastAsiaTheme="minorEastAsia"/>
                <w:sz w:val="24"/>
                <w:szCs w:val="24"/>
              </w:rPr>
              <w:t>年</w:t>
            </w:r>
            <w:r w:rsidRPr="0068321B">
              <w:rPr>
                <w:rFonts w:eastAsiaTheme="minorEastAsia"/>
                <w:sz w:val="24"/>
                <w:szCs w:val="24"/>
              </w:rPr>
              <w:t>7</w:t>
            </w:r>
            <w:r w:rsidRPr="0068321B">
              <w:rPr>
                <w:rFonts w:eastAsiaTheme="minorEastAsia"/>
                <w:sz w:val="24"/>
                <w:szCs w:val="24"/>
              </w:rPr>
              <w:t>月</w:t>
            </w:r>
            <w:r w:rsidRPr="0068321B">
              <w:rPr>
                <w:rFonts w:eastAsiaTheme="minorEastAsia"/>
                <w:sz w:val="24"/>
                <w:szCs w:val="24"/>
              </w:rPr>
              <w:t>11</w:t>
            </w:r>
            <w:r w:rsidRPr="0068321B">
              <w:rPr>
                <w:rFonts w:eastAsiaTheme="minorEastAsia"/>
                <w:sz w:val="24"/>
                <w:szCs w:val="24"/>
              </w:rPr>
              <w:t>日</w:t>
            </w:r>
            <w:bookmarkStart w:id="2" w:name="_GoBack"/>
            <w:bookmarkEnd w:id="2"/>
          </w:p>
        </w:tc>
      </w:tr>
      <w:tr w:rsidTr="00B14D73">
        <w:tblPrEx>
          <w:tblW w:w="9320" w:type="dxa"/>
          <w:jc w:val="center"/>
          <w:tblLayout w:type="fixed"/>
          <w:tblLook w:val="01E0"/>
        </w:tblPrEx>
        <w:trPr>
          <w:jc w:val="center"/>
        </w:trPr>
        <w:tc>
          <w:tcPr>
            <w:tcW w:w="3342" w:type="dxa"/>
          </w:tcPr>
          <w:p w:rsidR="00893436" w:rsidRPr="0068321B" w:rsidP="0007182D">
            <w:pPr>
              <w:rPr>
                <w:rFonts w:eastAsiaTheme="minorEastAsia"/>
                <w:sz w:val="24"/>
                <w:szCs w:val="24"/>
              </w:rPr>
            </w:pPr>
            <w:r w:rsidRPr="0068321B">
              <w:rPr>
                <w:rFonts w:eastAsiaTheme="minorEastAsia"/>
                <w:sz w:val="24"/>
                <w:szCs w:val="24"/>
              </w:rPr>
              <w:t>现金红利发放日</w:t>
            </w:r>
          </w:p>
        </w:tc>
        <w:tc>
          <w:tcPr>
            <w:tcW w:w="5978" w:type="dxa"/>
          </w:tcPr>
          <w:p w:rsidR="00893436" w:rsidRPr="0068321B" w:rsidP="0007182D">
            <w:pPr>
              <w:rPr>
                <w:rFonts w:eastAsiaTheme="minorEastAsia"/>
                <w:sz w:val="24"/>
                <w:szCs w:val="24"/>
              </w:rPr>
            </w:pPr>
            <w:r w:rsidRPr="0068321B">
              <w:rPr>
                <w:rFonts w:eastAsiaTheme="minorEastAsia"/>
                <w:sz w:val="24"/>
                <w:szCs w:val="24"/>
              </w:rPr>
              <w:t>2022</w:t>
            </w:r>
            <w:r w:rsidRPr="0068321B">
              <w:rPr>
                <w:rFonts w:eastAsiaTheme="minorEastAsia"/>
                <w:sz w:val="24"/>
                <w:szCs w:val="24"/>
              </w:rPr>
              <w:t>年</w:t>
            </w:r>
            <w:r w:rsidRPr="0068321B">
              <w:rPr>
                <w:rFonts w:eastAsiaTheme="minorEastAsia"/>
                <w:sz w:val="24"/>
                <w:szCs w:val="24"/>
              </w:rPr>
              <w:t>7</w:t>
            </w:r>
            <w:r w:rsidRPr="0068321B">
              <w:rPr>
                <w:rFonts w:eastAsiaTheme="minorEastAsia"/>
                <w:sz w:val="24"/>
                <w:szCs w:val="24"/>
              </w:rPr>
              <w:t>月</w:t>
            </w:r>
            <w:r w:rsidRPr="0068321B">
              <w:rPr>
                <w:rFonts w:eastAsiaTheme="minorEastAsia"/>
                <w:sz w:val="24"/>
                <w:szCs w:val="24"/>
              </w:rPr>
              <w:t>12</w:t>
            </w:r>
            <w:r w:rsidRPr="0068321B">
              <w:rPr>
                <w:rFonts w:eastAsiaTheme="minorEastAsia"/>
                <w:sz w:val="24"/>
                <w:szCs w:val="24"/>
              </w:rPr>
              <w:t>日</w:t>
            </w:r>
          </w:p>
        </w:tc>
      </w:tr>
      <w:tr w:rsidTr="00B14D73">
        <w:tblPrEx>
          <w:tblW w:w="9320" w:type="dxa"/>
          <w:jc w:val="center"/>
          <w:tblLayout w:type="fixed"/>
          <w:tblLook w:val="01E0"/>
        </w:tblPrEx>
        <w:trPr>
          <w:jc w:val="center"/>
        </w:trPr>
        <w:tc>
          <w:tcPr>
            <w:tcW w:w="3342" w:type="dxa"/>
          </w:tcPr>
          <w:p w:rsidR="00893436" w:rsidRPr="0068321B" w:rsidP="0007182D">
            <w:pPr>
              <w:rPr>
                <w:rFonts w:eastAsiaTheme="minorEastAsia"/>
                <w:sz w:val="24"/>
                <w:szCs w:val="24"/>
              </w:rPr>
            </w:pPr>
            <w:r w:rsidRPr="0068321B">
              <w:rPr>
                <w:rFonts w:eastAsiaTheme="minorEastAsia"/>
                <w:sz w:val="24"/>
                <w:szCs w:val="24"/>
              </w:rPr>
              <w:t>分红对象</w:t>
            </w:r>
          </w:p>
        </w:tc>
        <w:tc>
          <w:tcPr>
            <w:tcW w:w="5978" w:type="dxa"/>
            <w:shd w:val="clear" w:color="auto" w:fill="auto"/>
          </w:tcPr>
          <w:p w:rsidR="00893436" w:rsidRPr="0068321B" w:rsidP="0007182D">
            <w:pPr>
              <w:rPr>
                <w:rFonts w:eastAsiaTheme="minorEastAsia"/>
                <w:sz w:val="24"/>
                <w:szCs w:val="24"/>
              </w:rPr>
            </w:pPr>
            <w:r w:rsidRPr="0068321B">
              <w:rPr>
                <w:rFonts w:eastAsiaTheme="minorEastAsia"/>
                <w:sz w:val="24"/>
                <w:szCs w:val="24"/>
              </w:rPr>
              <w:t>权益登记日在易方达基金管理有限公司登记在册的本基金全体持有人。</w:t>
            </w:r>
          </w:p>
        </w:tc>
      </w:tr>
      <w:tr w:rsidTr="00B14D73">
        <w:tblPrEx>
          <w:tblW w:w="9320" w:type="dxa"/>
          <w:jc w:val="center"/>
          <w:tblLayout w:type="fixed"/>
          <w:tblLook w:val="01E0"/>
        </w:tblPrEx>
        <w:trPr>
          <w:jc w:val="center"/>
        </w:trPr>
        <w:tc>
          <w:tcPr>
            <w:tcW w:w="3342" w:type="dxa"/>
            <w:shd w:val="clear" w:color="auto" w:fill="auto"/>
            <w:vAlign w:val="center"/>
          </w:tcPr>
          <w:p w:rsidR="00893436" w:rsidRPr="0068321B" w:rsidP="0007182D">
            <w:pPr>
              <w:rPr>
                <w:rFonts w:eastAsiaTheme="minorEastAsia"/>
                <w:sz w:val="24"/>
                <w:szCs w:val="24"/>
              </w:rPr>
            </w:pPr>
            <w:r w:rsidRPr="0068321B">
              <w:rPr>
                <w:rFonts w:eastAsiaTheme="minorEastAsia"/>
                <w:sz w:val="24"/>
                <w:szCs w:val="24"/>
              </w:rPr>
              <w:t>红利再投资相关事项的说明</w:t>
            </w:r>
          </w:p>
        </w:tc>
        <w:tc>
          <w:tcPr>
            <w:tcW w:w="5978" w:type="dxa"/>
            <w:shd w:val="clear" w:color="auto" w:fill="auto"/>
          </w:tcPr>
          <w:p w:rsidR="00893436" w:rsidRPr="0068321B" w:rsidP="0007182D">
            <w:pPr>
              <w:rPr>
                <w:rFonts w:eastAsiaTheme="minorEastAsia"/>
                <w:sz w:val="24"/>
                <w:szCs w:val="24"/>
              </w:rPr>
            </w:pPr>
            <w:r w:rsidRPr="0068321B">
              <w:rPr>
                <w:rFonts w:eastAsiaTheme="minorEastAsia"/>
                <w:sz w:val="24"/>
                <w:szCs w:val="24"/>
              </w:rPr>
              <w:t>选择红利再投资方式的投资者红利再投资所得的基金份额将按</w:t>
            </w:r>
            <w:r w:rsidRPr="0068321B">
              <w:rPr>
                <w:rFonts w:eastAsiaTheme="minorEastAsia"/>
                <w:sz w:val="24"/>
                <w:szCs w:val="24"/>
              </w:rPr>
              <w:t>2022</w:t>
            </w:r>
            <w:r w:rsidRPr="0068321B">
              <w:rPr>
                <w:rFonts w:eastAsiaTheme="minorEastAsia"/>
                <w:sz w:val="24"/>
                <w:szCs w:val="24"/>
              </w:rPr>
              <w:t>年</w:t>
            </w:r>
            <w:r w:rsidRPr="0068321B">
              <w:rPr>
                <w:rFonts w:eastAsiaTheme="minorEastAsia"/>
                <w:sz w:val="24"/>
                <w:szCs w:val="24"/>
              </w:rPr>
              <w:t>7</w:t>
            </w:r>
            <w:r w:rsidRPr="0068321B">
              <w:rPr>
                <w:rFonts w:eastAsiaTheme="minorEastAsia"/>
                <w:sz w:val="24"/>
                <w:szCs w:val="24"/>
              </w:rPr>
              <w:t>月</w:t>
            </w:r>
            <w:r w:rsidRPr="0068321B">
              <w:rPr>
                <w:rFonts w:eastAsiaTheme="minorEastAsia"/>
                <w:sz w:val="24"/>
                <w:szCs w:val="24"/>
              </w:rPr>
              <w:t>11</w:t>
            </w:r>
            <w:r w:rsidRPr="0068321B">
              <w:rPr>
                <w:rFonts w:eastAsiaTheme="minorEastAsia"/>
                <w:sz w:val="24"/>
                <w:szCs w:val="24"/>
              </w:rPr>
              <w:t>日的基金份额净值计算确定，本公司将于红利发放日对红利再投资的基金份额进行确认并通知各销售机构，本次红利再投资所得份额的持有期限自红利发放日开始计算。</w:t>
            </w:r>
            <w:r w:rsidRPr="0068321B">
              <w:rPr>
                <w:rFonts w:eastAsiaTheme="minorEastAsia"/>
                <w:sz w:val="24"/>
                <w:szCs w:val="24"/>
              </w:rPr>
              <w:t>2022</w:t>
            </w:r>
            <w:r w:rsidRPr="0068321B">
              <w:rPr>
                <w:rFonts w:eastAsiaTheme="minorEastAsia"/>
                <w:sz w:val="24"/>
                <w:szCs w:val="24"/>
              </w:rPr>
              <w:t>年</w:t>
            </w:r>
            <w:r w:rsidRPr="0068321B">
              <w:rPr>
                <w:rFonts w:eastAsiaTheme="minorEastAsia"/>
                <w:sz w:val="24"/>
                <w:szCs w:val="24"/>
              </w:rPr>
              <w:t>7</w:t>
            </w:r>
            <w:r w:rsidRPr="0068321B">
              <w:rPr>
                <w:rFonts w:eastAsiaTheme="minorEastAsia"/>
                <w:sz w:val="24"/>
                <w:szCs w:val="24"/>
              </w:rPr>
              <w:t>月</w:t>
            </w:r>
            <w:r w:rsidRPr="0068321B">
              <w:rPr>
                <w:rFonts w:eastAsiaTheme="minorEastAsia"/>
                <w:sz w:val="24"/>
                <w:szCs w:val="24"/>
              </w:rPr>
              <w:t>13</w:t>
            </w:r>
            <w:r w:rsidRPr="0068321B">
              <w:rPr>
                <w:rFonts w:eastAsiaTheme="minorEastAsia"/>
                <w:sz w:val="24"/>
                <w:szCs w:val="24"/>
              </w:rPr>
              <w:t>日起投资者可以查询、赎回。权益登记日之前（不含权益登记日）办理了转托管转出尚未办理转托管转入的基金份额，其分红方式按照红利再投资处理。</w:t>
            </w:r>
          </w:p>
        </w:tc>
      </w:tr>
      <w:tr w:rsidTr="00B14D73">
        <w:tblPrEx>
          <w:tblW w:w="9320" w:type="dxa"/>
          <w:jc w:val="center"/>
          <w:tblLayout w:type="fixed"/>
          <w:tblLook w:val="01E0"/>
        </w:tblPrEx>
        <w:trPr>
          <w:jc w:val="center"/>
        </w:trPr>
        <w:tc>
          <w:tcPr>
            <w:tcW w:w="3342" w:type="dxa"/>
          </w:tcPr>
          <w:p w:rsidR="00893436" w:rsidRPr="0068321B" w:rsidP="0007182D">
            <w:pPr>
              <w:rPr>
                <w:rFonts w:eastAsiaTheme="minorEastAsia"/>
                <w:sz w:val="24"/>
                <w:szCs w:val="24"/>
              </w:rPr>
            </w:pPr>
            <w:r w:rsidRPr="0068321B">
              <w:rPr>
                <w:rFonts w:eastAsiaTheme="minorEastAsia"/>
                <w:sz w:val="24"/>
                <w:szCs w:val="24"/>
              </w:rPr>
              <w:t>税收相关事项的说明</w:t>
            </w:r>
          </w:p>
        </w:tc>
        <w:tc>
          <w:tcPr>
            <w:tcW w:w="5978" w:type="dxa"/>
            <w:shd w:val="clear" w:color="auto" w:fill="auto"/>
          </w:tcPr>
          <w:p w:rsidR="00893436" w:rsidRPr="0068321B" w:rsidP="0007182D">
            <w:pPr>
              <w:rPr>
                <w:rFonts w:eastAsiaTheme="minorEastAsia"/>
                <w:sz w:val="24"/>
                <w:szCs w:val="24"/>
              </w:rPr>
            </w:pPr>
            <w:r w:rsidRPr="0068321B">
              <w:rPr>
                <w:rFonts w:eastAsiaTheme="minorEastAsia"/>
                <w:sz w:val="24"/>
                <w:szCs w:val="24"/>
              </w:rPr>
              <w:t>根据相关法律法规规定，基金向投资者分配的基金收益，暂不征收所得税。</w:t>
            </w:r>
          </w:p>
        </w:tc>
      </w:tr>
      <w:tr w:rsidTr="00B14D73">
        <w:tblPrEx>
          <w:tblW w:w="9320" w:type="dxa"/>
          <w:jc w:val="center"/>
          <w:tblLayout w:type="fixed"/>
          <w:tblLook w:val="01E0"/>
        </w:tblPrEx>
        <w:trPr>
          <w:jc w:val="center"/>
        </w:trPr>
        <w:tc>
          <w:tcPr>
            <w:tcW w:w="3342" w:type="dxa"/>
          </w:tcPr>
          <w:p w:rsidR="00893436" w:rsidRPr="0068321B" w:rsidP="0007182D">
            <w:pPr>
              <w:rPr>
                <w:rFonts w:eastAsiaTheme="minorEastAsia"/>
                <w:sz w:val="24"/>
                <w:szCs w:val="24"/>
              </w:rPr>
            </w:pPr>
            <w:r w:rsidRPr="0068321B">
              <w:rPr>
                <w:rFonts w:eastAsiaTheme="minorEastAsia"/>
                <w:sz w:val="24"/>
                <w:szCs w:val="24"/>
              </w:rPr>
              <w:t>费用相关事项的说明</w:t>
            </w:r>
          </w:p>
        </w:tc>
        <w:tc>
          <w:tcPr>
            <w:tcW w:w="5978" w:type="dxa"/>
            <w:shd w:val="clear" w:color="auto" w:fill="auto"/>
          </w:tcPr>
          <w:p w:rsidR="00893436" w:rsidRPr="0068321B" w:rsidP="0007182D">
            <w:pPr>
              <w:rPr>
                <w:rFonts w:eastAsiaTheme="minorEastAsia"/>
                <w:sz w:val="24"/>
                <w:szCs w:val="24"/>
              </w:rPr>
            </w:pPr>
            <w:r w:rsidRPr="0068321B">
              <w:rPr>
                <w:rFonts w:eastAsiaTheme="minorEastAsia"/>
                <w:sz w:val="24"/>
                <w:szCs w:val="24"/>
              </w:rPr>
              <w:t>本基金本次分红免收分红手续费；选择红利再投资方式的投资者其红利再投资所得的基金份额免收申购费用。</w:t>
            </w:r>
          </w:p>
        </w:tc>
      </w:tr>
    </w:tbl>
    <w:p w:rsidR="005B6558">
      <w:pPr>
        <w:spacing w:line="360" w:lineRule="auto"/>
        <w:ind w:firstLine="480" w:firstLineChars="200"/>
        <w:rPr>
          <w:rFonts w:eastAsiaTheme="minorEastAsia"/>
          <w:color w:val="000000"/>
          <w:sz w:val="24"/>
          <w:szCs w:val="24"/>
        </w:rPr>
      </w:pPr>
      <w:r>
        <w:rPr>
          <w:rFonts w:eastAsiaTheme="minorEastAsia"/>
          <w:color w:val="000000"/>
          <w:sz w:val="24"/>
          <w:szCs w:val="24"/>
        </w:rPr>
        <w:t>注：（</w:t>
      </w:r>
      <w:r>
        <w:rPr>
          <w:rFonts w:eastAsiaTheme="minorEastAsia"/>
          <w:color w:val="000000"/>
          <w:sz w:val="24"/>
          <w:szCs w:val="24"/>
        </w:rPr>
        <w:t>1</w:t>
      </w:r>
      <w:r>
        <w:rPr>
          <w:rFonts w:eastAsiaTheme="minorEastAsia"/>
          <w:color w:val="000000"/>
          <w:sz w:val="24"/>
          <w:szCs w:val="24"/>
        </w:rPr>
        <w:t>）选择现金红利方式的投资者的红利款将于</w:t>
      </w:r>
      <w:r>
        <w:rPr>
          <w:rFonts w:eastAsiaTheme="minorEastAsia"/>
          <w:color w:val="000000"/>
          <w:sz w:val="24"/>
          <w:szCs w:val="24"/>
        </w:rPr>
        <w:t>2022</w:t>
      </w:r>
      <w:r>
        <w:rPr>
          <w:rFonts w:eastAsiaTheme="minorEastAsia"/>
          <w:color w:val="000000"/>
          <w:sz w:val="24"/>
          <w:szCs w:val="24"/>
        </w:rPr>
        <w:t>年</w:t>
      </w:r>
      <w:r>
        <w:rPr>
          <w:rFonts w:eastAsiaTheme="minorEastAsia"/>
          <w:color w:val="000000"/>
          <w:sz w:val="24"/>
          <w:szCs w:val="24"/>
        </w:rPr>
        <w:t>7</w:t>
      </w:r>
      <w:r>
        <w:rPr>
          <w:rFonts w:eastAsiaTheme="minorEastAsia"/>
          <w:color w:val="000000"/>
          <w:sz w:val="24"/>
          <w:szCs w:val="24"/>
        </w:rPr>
        <w:t>月</w:t>
      </w:r>
      <w:r>
        <w:rPr>
          <w:rFonts w:eastAsiaTheme="minorEastAsia"/>
          <w:color w:val="000000"/>
          <w:sz w:val="24"/>
          <w:szCs w:val="24"/>
        </w:rPr>
        <w:t>12</w:t>
      </w:r>
      <w:r>
        <w:rPr>
          <w:rFonts w:eastAsiaTheme="minorEastAsia"/>
          <w:color w:val="000000"/>
          <w:sz w:val="24"/>
          <w:szCs w:val="24"/>
        </w:rPr>
        <w:t>日自基金托管账户划出。</w:t>
      </w:r>
    </w:p>
    <w:p w:rsidR="00893436" w:rsidRPr="0068321B" w:rsidP="00812228">
      <w:pPr>
        <w:spacing w:line="360" w:lineRule="auto"/>
        <w:ind w:firstLine="480" w:firstLineChars="200"/>
        <w:rPr>
          <w:rFonts w:eastAsiaTheme="minorEastAsia"/>
          <w:color w:val="000000"/>
          <w:sz w:val="24"/>
          <w:szCs w:val="24"/>
        </w:rPr>
      </w:pPr>
      <w:r w:rsidRPr="0068321B">
        <w:rPr>
          <w:rFonts w:eastAsiaTheme="minorEastAsia"/>
          <w:color w:val="000000"/>
          <w:sz w:val="24"/>
          <w:szCs w:val="24"/>
        </w:rPr>
        <w:t>（</w:t>
      </w:r>
      <w:r w:rsidRPr="0068321B">
        <w:rPr>
          <w:rFonts w:eastAsiaTheme="minorEastAsia"/>
          <w:color w:val="000000"/>
          <w:sz w:val="24"/>
          <w:szCs w:val="24"/>
        </w:rPr>
        <w:t>2</w:t>
      </w:r>
      <w:r w:rsidRPr="0068321B">
        <w:rPr>
          <w:rFonts w:eastAsiaTheme="minorEastAsia"/>
          <w:color w:val="000000"/>
          <w:sz w:val="24"/>
          <w:szCs w:val="24"/>
        </w:rPr>
        <w:t>）冻结基金份额的红利发放按照《易方达基金管理有限公司开放式基金业务规则》的相关规定处理。</w:t>
      </w:r>
    </w:p>
    <w:p w:rsidR="00812228" w:rsidRPr="0068321B" w:rsidP="00B14D73">
      <w:pPr>
        <w:spacing w:line="360" w:lineRule="auto"/>
        <w:rPr>
          <w:rFonts w:eastAsiaTheme="minorEastAsia"/>
          <w:color w:val="000000"/>
          <w:sz w:val="24"/>
          <w:szCs w:val="24"/>
        </w:rPr>
      </w:pPr>
    </w:p>
    <w:p w:rsidR="00893436" w:rsidRPr="0068321B" w:rsidP="00812228">
      <w:pPr>
        <w:pStyle w:val="Heading3"/>
        <w:keepNext w:val="0"/>
        <w:keepLines w:val="0"/>
        <w:spacing w:before="0" w:after="0" w:line="360" w:lineRule="auto"/>
        <w:rPr>
          <w:rFonts w:eastAsiaTheme="minorEastAsia"/>
          <w:bCs w:val="0"/>
          <w:sz w:val="24"/>
          <w:szCs w:val="24"/>
        </w:rPr>
      </w:pPr>
      <w:bookmarkStart w:id="3" w:name="_Toc275961420"/>
      <w:r w:rsidRPr="0068321B">
        <w:rPr>
          <w:rFonts w:eastAsiaTheme="minorEastAsia"/>
          <w:bCs w:val="0"/>
          <w:sz w:val="24"/>
          <w:szCs w:val="24"/>
        </w:rPr>
        <w:t>3</w:t>
      </w:r>
      <w:r w:rsidRPr="0068321B" w:rsidR="00812228">
        <w:rPr>
          <w:rFonts w:eastAsiaTheme="minorEastAsia"/>
          <w:bCs w:val="0"/>
          <w:sz w:val="24"/>
          <w:szCs w:val="24"/>
        </w:rPr>
        <w:t>.</w:t>
      </w:r>
      <w:r w:rsidRPr="0068321B">
        <w:rPr>
          <w:rFonts w:eastAsiaTheme="minorEastAsia"/>
          <w:bCs w:val="0"/>
          <w:sz w:val="24"/>
          <w:szCs w:val="24"/>
        </w:rPr>
        <w:t>其他需要提示的事项</w:t>
      </w:r>
      <w:bookmarkEnd w:id="3"/>
    </w:p>
    <w:p w:rsidR="005B6558">
      <w:pPr>
        <w:spacing w:line="360" w:lineRule="auto"/>
        <w:ind w:firstLine="480" w:firstLineChars="200"/>
        <w:rPr>
          <w:rFonts w:eastAsiaTheme="minorEastAsia"/>
          <w:color w:val="000000"/>
          <w:sz w:val="24"/>
          <w:szCs w:val="24"/>
        </w:rPr>
      </w:pPr>
      <w:r>
        <w:rPr>
          <w:rFonts w:eastAsiaTheme="minorEastAsia"/>
          <w:color w:val="000000"/>
          <w:sz w:val="24"/>
          <w:szCs w:val="24"/>
        </w:rPr>
        <w:t>（</w:t>
      </w:r>
      <w:r>
        <w:rPr>
          <w:rFonts w:eastAsiaTheme="minorEastAsia"/>
          <w:color w:val="000000"/>
          <w:sz w:val="24"/>
          <w:szCs w:val="24"/>
        </w:rPr>
        <w:t>1</w:t>
      </w:r>
      <w:r>
        <w:rPr>
          <w:rFonts w:eastAsiaTheme="minorEastAsia"/>
          <w:color w:val="000000"/>
          <w:sz w:val="24"/>
          <w:szCs w:val="24"/>
        </w:rPr>
        <w:t>）权益登记日申请申购或转换转入的基金份额不享有本次分红权益，权益登记日申请赎回或转换转出的基金份额享有本次分红权益。</w:t>
      </w:r>
      <w:r>
        <w:rPr>
          <w:rFonts w:eastAsiaTheme="minorEastAsia"/>
          <w:color w:val="000000"/>
          <w:sz w:val="24"/>
          <w:szCs w:val="24"/>
        </w:rPr>
        <w:t xml:space="preserve"> </w:t>
      </w:r>
    </w:p>
    <w:p w:rsidR="005B6558">
      <w:pPr>
        <w:spacing w:line="360" w:lineRule="auto"/>
        <w:ind w:firstLine="480" w:firstLineChars="200"/>
        <w:rPr>
          <w:rFonts w:eastAsiaTheme="minorEastAsia"/>
          <w:color w:val="000000"/>
          <w:sz w:val="24"/>
          <w:szCs w:val="24"/>
        </w:rPr>
      </w:pPr>
      <w:r>
        <w:rPr>
          <w:rFonts w:eastAsiaTheme="minorEastAsia"/>
          <w:color w:val="000000"/>
          <w:sz w:val="24"/>
          <w:szCs w:val="24"/>
        </w:rPr>
        <w:t>（</w:t>
      </w:r>
      <w:r>
        <w:rPr>
          <w:rFonts w:eastAsiaTheme="minorEastAsia"/>
          <w:color w:val="000000"/>
          <w:sz w:val="24"/>
          <w:szCs w:val="24"/>
        </w:rPr>
        <w:t>2</w:t>
      </w:r>
      <w:r>
        <w:rPr>
          <w:rFonts w:eastAsiaTheme="minorEastAsia"/>
          <w:color w:val="000000"/>
          <w:sz w:val="24"/>
          <w:szCs w:val="24"/>
        </w:rPr>
        <w:t>）本次分红确认的方式将按照权益登记日投资者持有的基金份额在易方达基金管理有限公司已经确认并登记的分红方式为准。如需修改分红方式的，请务必在权益登记日前一工作日的交易时间结束前到销售机构办理变更手续，投资者在权益登记日前一工作日交易时间结束后提交的修改分红方式申请对本次分红无效。</w:t>
      </w:r>
    </w:p>
    <w:p w:rsidR="005B6558">
      <w:pPr>
        <w:spacing w:line="360" w:lineRule="auto"/>
        <w:ind w:firstLine="480" w:firstLineChars="200"/>
        <w:rPr>
          <w:rFonts w:eastAsiaTheme="minorEastAsia"/>
          <w:color w:val="000000"/>
          <w:sz w:val="24"/>
          <w:szCs w:val="24"/>
        </w:rPr>
      </w:pPr>
      <w:r>
        <w:rPr>
          <w:rFonts w:eastAsiaTheme="minorEastAsia"/>
          <w:color w:val="000000"/>
          <w:sz w:val="24"/>
          <w:szCs w:val="24"/>
        </w:rPr>
        <w:t>（</w:t>
      </w:r>
      <w:r>
        <w:rPr>
          <w:rFonts w:eastAsiaTheme="minorEastAsia"/>
          <w:color w:val="000000"/>
          <w:sz w:val="24"/>
          <w:szCs w:val="24"/>
        </w:rPr>
        <w:t>3</w:t>
      </w:r>
      <w:r>
        <w:rPr>
          <w:rFonts w:eastAsiaTheme="minorEastAsia"/>
          <w:color w:val="000000"/>
          <w:sz w:val="24"/>
          <w:szCs w:val="24"/>
        </w:rPr>
        <w:t>）投资者可以通过拨打易方达基金管理有限公司客户服务热线</w:t>
      </w:r>
      <w:r>
        <w:rPr>
          <w:rFonts w:eastAsiaTheme="minorEastAsia"/>
          <w:color w:val="000000"/>
          <w:sz w:val="24"/>
          <w:szCs w:val="24"/>
        </w:rPr>
        <w:t>40088-18088</w:t>
      </w:r>
      <w:r>
        <w:rPr>
          <w:rFonts w:eastAsiaTheme="minorEastAsia"/>
          <w:color w:val="000000"/>
          <w:sz w:val="24"/>
          <w:szCs w:val="24"/>
        </w:rPr>
        <w:t>，或登陆网站</w:t>
      </w:r>
      <w:r>
        <w:rPr>
          <w:rFonts w:eastAsiaTheme="minorEastAsia"/>
          <w:color w:val="000000"/>
          <w:sz w:val="24"/>
          <w:szCs w:val="24"/>
        </w:rPr>
        <w:t>www.ef</w:t>
      </w:r>
      <w:r>
        <w:rPr>
          <w:rFonts w:eastAsiaTheme="minorEastAsia"/>
          <w:color w:val="000000"/>
          <w:sz w:val="24"/>
          <w:szCs w:val="24"/>
        </w:rPr>
        <w:t>unds.com.cn</w:t>
      </w:r>
      <w:r>
        <w:rPr>
          <w:rFonts w:eastAsiaTheme="minorEastAsia"/>
          <w:color w:val="000000"/>
          <w:sz w:val="24"/>
          <w:szCs w:val="24"/>
        </w:rPr>
        <w:t>了解相关情况。投资者也可以前往本基金有关销售机构进行咨询。本基金的销售机构详见基金管理人网站公示。</w:t>
      </w:r>
    </w:p>
    <w:p w:rsidR="00364C2A" w:rsidRPr="0068321B" w:rsidP="00812228">
      <w:pPr>
        <w:spacing w:line="360" w:lineRule="auto"/>
        <w:ind w:firstLine="480" w:firstLineChars="200"/>
        <w:rPr>
          <w:rFonts w:eastAsiaTheme="minorEastAsia"/>
          <w:color w:val="000000"/>
          <w:sz w:val="24"/>
          <w:szCs w:val="24"/>
        </w:rPr>
      </w:pPr>
      <w:r w:rsidRPr="0068321B">
        <w:rPr>
          <w:rFonts w:eastAsiaTheme="minorEastAsia"/>
          <w:color w:val="000000"/>
          <w:sz w:val="24"/>
          <w:szCs w:val="24"/>
        </w:rPr>
        <w:t>特此公告。</w:t>
      </w:r>
    </w:p>
    <w:p w:rsidR="00AC470F" w:rsidRPr="0068321B" w:rsidP="00812228">
      <w:pPr>
        <w:spacing w:line="360" w:lineRule="auto"/>
        <w:ind w:firstLine="480" w:firstLineChars="200"/>
        <w:rPr>
          <w:rFonts w:eastAsiaTheme="minorEastAsia"/>
          <w:color w:val="000000"/>
          <w:sz w:val="24"/>
          <w:szCs w:val="24"/>
        </w:rPr>
      </w:pPr>
    </w:p>
    <w:p w:rsidR="00AC470F" w:rsidRPr="0068321B" w:rsidP="00812228">
      <w:pPr>
        <w:spacing w:line="360" w:lineRule="auto"/>
        <w:ind w:firstLine="480" w:firstLineChars="200"/>
        <w:rPr>
          <w:rFonts w:eastAsiaTheme="minorEastAsia"/>
          <w:color w:val="000000"/>
          <w:sz w:val="24"/>
          <w:szCs w:val="24"/>
        </w:rPr>
      </w:pPr>
    </w:p>
    <w:p w:rsidR="00AC470F" w:rsidRPr="0068321B" w:rsidP="00812228">
      <w:pPr>
        <w:spacing w:line="360" w:lineRule="auto"/>
        <w:ind w:firstLine="480" w:firstLineChars="200"/>
        <w:rPr>
          <w:rFonts w:eastAsiaTheme="minorEastAsia"/>
          <w:color w:val="000000"/>
          <w:sz w:val="24"/>
          <w:szCs w:val="24"/>
        </w:rPr>
      </w:pPr>
    </w:p>
    <w:p w:rsidR="00AC470F" w:rsidRPr="0068321B" w:rsidP="00812228">
      <w:pPr>
        <w:spacing w:line="360" w:lineRule="auto"/>
        <w:ind w:firstLine="480" w:firstLineChars="200"/>
        <w:rPr>
          <w:rFonts w:eastAsiaTheme="minorEastAsia"/>
          <w:color w:val="000000"/>
          <w:sz w:val="24"/>
          <w:szCs w:val="24"/>
        </w:rPr>
      </w:pPr>
    </w:p>
    <w:p w:rsidR="00AC470F" w:rsidRPr="0068321B" w:rsidP="00582D89">
      <w:pPr>
        <w:spacing w:line="360" w:lineRule="auto"/>
        <w:ind w:firstLine="480" w:firstLineChars="200"/>
        <w:jc w:val="right"/>
        <w:rPr>
          <w:rFonts w:eastAsiaTheme="minorEastAsia"/>
          <w:color w:val="000000"/>
          <w:sz w:val="24"/>
          <w:szCs w:val="24"/>
        </w:rPr>
      </w:pPr>
      <w:r w:rsidRPr="0068321B">
        <w:rPr>
          <w:rFonts w:eastAsiaTheme="minorEastAsia"/>
          <w:color w:val="000000"/>
          <w:sz w:val="24"/>
          <w:szCs w:val="24"/>
        </w:rPr>
        <w:t>易方达基金管理有限公司</w:t>
      </w:r>
    </w:p>
    <w:p w:rsidR="00AC470F" w:rsidRPr="0068321B" w:rsidP="00582D89">
      <w:pPr>
        <w:spacing w:line="360" w:lineRule="auto"/>
        <w:ind w:firstLine="480" w:firstLineChars="200"/>
        <w:jc w:val="right"/>
        <w:rPr>
          <w:rFonts w:eastAsiaTheme="minorEastAsia"/>
          <w:color w:val="000000"/>
          <w:sz w:val="24"/>
          <w:szCs w:val="24"/>
        </w:rPr>
      </w:pPr>
      <w:r w:rsidRPr="0068321B">
        <w:rPr>
          <w:rFonts w:eastAsiaTheme="minorEastAsia"/>
          <w:color w:val="000000"/>
          <w:sz w:val="24"/>
          <w:szCs w:val="24"/>
        </w:rPr>
        <w:t>2022</w:t>
      </w:r>
      <w:r w:rsidRPr="0068321B">
        <w:rPr>
          <w:rFonts w:eastAsiaTheme="minorEastAsia"/>
          <w:color w:val="000000"/>
          <w:sz w:val="24"/>
          <w:szCs w:val="24"/>
        </w:rPr>
        <w:t>年</w:t>
      </w:r>
      <w:r w:rsidRPr="0068321B">
        <w:rPr>
          <w:rFonts w:eastAsiaTheme="minorEastAsia"/>
          <w:color w:val="000000"/>
          <w:sz w:val="24"/>
          <w:szCs w:val="24"/>
        </w:rPr>
        <w:t>7</w:t>
      </w:r>
      <w:r w:rsidRPr="0068321B">
        <w:rPr>
          <w:rFonts w:eastAsiaTheme="minorEastAsia"/>
          <w:color w:val="000000"/>
          <w:sz w:val="24"/>
          <w:szCs w:val="24"/>
        </w:rPr>
        <w:t>月</w:t>
      </w:r>
      <w:r w:rsidRPr="0068321B">
        <w:rPr>
          <w:rFonts w:eastAsiaTheme="minorEastAsia"/>
          <w:color w:val="000000"/>
          <w:sz w:val="24"/>
          <w:szCs w:val="24"/>
        </w:rPr>
        <w:t>8</w:t>
      </w:r>
      <w:r w:rsidRPr="0068321B">
        <w:rPr>
          <w:rFonts w:eastAsiaTheme="minorEastAsia"/>
          <w:color w:val="000000"/>
          <w:sz w:val="24"/>
          <w:szCs w:val="24"/>
        </w:rPr>
        <w:t>日</w:t>
      </w:r>
    </w:p>
    <w:sectPr w:rsidSect="00111B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Arial Unicode MS"/>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436"/>
    <w:rsid w:val="00041353"/>
    <w:rsid w:val="00057AC1"/>
    <w:rsid w:val="0007182D"/>
    <w:rsid w:val="00085F5C"/>
    <w:rsid w:val="0009778C"/>
    <w:rsid w:val="000A19B2"/>
    <w:rsid w:val="000C169A"/>
    <w:rsid w:val="000C39F6"/>
    <w:rsid w:val="000D6418"/>
    <w:rsid w:val="00111BD0"/>
    <w:rsid w:val="00135CA1"/>
    <w:rsid w:val="0016074B"/>
    <w:rsid w:val="00160D71"/>
    <w:rsid w:val="00172E10"/>
    <w:rsid w:val="001A61DE"/>
    <w:rsid w:val="001D7FD5"/>
    <w:rsid w:val="00226206"/>
    <w:rsid w:val="00241904"/>
    <w:rsid w:val="00242E4D"/>
    <w:rsid w:val="00266A99"/>
    <w:rsid w:val="00284B1B"/>
    <w:rsid w:val="002A63B7"/>
    <w:rsid w:val="002D73E6"/>
    <w:rsid w:val="003160F8"/>
    <w:rsid w:val="0032061C"/>
    <w:rsid w:val="00362297"/>
    <w:rsid w:val="00364C2A"/>
    <w:rsid w:val="0039192C"/>
    <w:rsid w:val="003C10C0"/>
    <w:rsid w:val="003C26AF"/>
    <w:rsid w:val="003E51F2"/>
    <w:rsid w:val="00410642"/>
    <w:rsid w:val="00413675"/>
    <w:rsid w:val="00486934"/>
    <w:rsid w:val="004966BA"/>
    <w:rsid w:val="004E68DA"/>
    <w:rsid w:val="0050279B"/>
    <w:rsid w:val="00506E3A"/>
    <w:rsid w:val="005715B6"/>
    <w:rsid w:val="00582D89"/>
    <w:rsid w:val="005B6558"/>
    <w:rsid w:val="005C74A7"/>
    <w:rsid w:val="00602C3F"/>
    <w:rsid w:val="00606D8B"/>
    <w:rsid w:val="0068321B"/>
    <w:rsid w:val="00687863"/>
    <w:rsid w:val="006A2E06"/>
    <w:rsid w:val="00721B55"/>
    <w:rsid w:val="007457E4"/>
    <w:rsid w:val="007C1A56"/>
    <w:rsid w:val="007C7B20"/>
    <w:rsid w:val="00812228"/>
    <w:rsid w:val="00820E11"/>
    <w:rsid w:val="00865457"/>
    <w:rsid w:val="00880E4A"/>
    <w:rsid w:val="00893436"/>
    <w:rsid w:val="008D1F66"/>
    <w:rsid w:val="009302F7"/>
    <w:rsid w:val="0096162B"/>
    <w:rsid w:val="009732A4"/>
    <w:rsid w:val="00987A3A"/>
    <w:rsid w:val="0099338F"/>
    <w:rsid w:val="009B4BCB"/>
    <w:rsid w:val="009F297D"/>
    <w:rsid w:val="00A119F6"/>
    <w:rsid w:val="00A67015"/>
    <w:rsid w:val="00A72716"/>
    <w:rsid w:val="00A81C93"/>
    <w:rsid w:val="00A83087"/>
    <w:rsid w:val="00AC470F"/>
    <w:rsid w:val="00B14D73"/>
    <w:rsid w:val="00B21A32"/>
    <w:rsid w:val="00B44BBE"/>
    <w:rsid w:val="00B60712"/>
    <w:rsid w:val="00B77B08"/>
    <w:rsid w:val="00BA7F58"/>
    <w:rsid w:val="00BB421F"/>
    <w:rsid w:val="00BD7533"/>
    <w:rsid w:val="00BE444C"/>
    <w:rsid w:val="00BF5698"/>
    <w:rsid w:val="00C33DDD"/>
    <w:rsid w:val="00CB3D18"/>
    <w:rsid w:val="00CC333F"/>
    <w:rsid w:val="00CC53FB"/>
    <w:rsid w:val="00D15CCB"/>
    <w:rsid w:val="00D20292"/>
    <w:rsid w:val="00D82E8A"/>
    <w:rsid w:val="00D93DD8"/>
    <w:rsid w:val="00DA77C4"/>
    <w:rsid w:val="00DB6924"/>
    <w:rsid w:val="00E100B9"/>
    <w:rsid w:val="00E24390"/>
    <w:rsid w:val="00E379B4"/>
    <w:rsid w:val="00E500FF"/>
    <w:rsid w:val="00E7403D"/>
    <w:rsid w:val="00E8116A"/>
    <w:rsid w:val="00F0033B"/>
    <w:rsid w:val="00F055D7"/>
    <w:rsid w:val="00F4212E"/>
    <w:rsid w:val="00F45E48"/>
    <w:rsid w:val="00FB4F60"/>
    <w:rsid w:val="00FC4488"/>
    <w:rsid w:val="00FC5715"/>
    <w:rsid w:val="00FE209B"/>
    <w:rsid w:val="00FF0BA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4BC03183-F134-4029-84FE-A50DA506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36"/>
    <w:pPr>
      <w:widowControl w:val="0"/>
      <w:jc w:val="both"/>
    </w:pPr>
    <w:rPr>
      <w:rFonts w:ascii="Times New Roman" w:eastAsia="方正仿宋简体" w:hAnsi="Times New Roman" w:cs="Times New Roman"/>
      <w:sz w:val="32"/>
      <w:szCs w:val="20"/>
    </w:rPr>
  </w:style>
  <w:style w:type="paragraph" w:styleId="Heading1">
    <w:name w:val="heading 1"/>
    <w:basedOn w:val="Normal"/>
    <w:next w:val="Normal"/>
    <w:link w:val="1Char"/>
    <w:qFormat/>
    <w:rsid w:val="00893436"/>
    <w:pPr>
      <w:keepNext/>
      <w:keepLines/>
      <w:spacing w:before="340" w:after="330" w:line="578" w:lineRule="auto"/>
      <w:outlineLvl w:val="0"/>
    </w:pPr>
    <w:rPr>
      <w:rFonts w:eastAsia="宋体"/>
      <w:b/>
      <w:bCs/>
      <w:kern w:val="44"/>
      <w:sz w:val="44"/>
      <w:szCs w:val="44"/>
    </w:rPr>
  </w:style>
  <w:style w:type="paragraph" w:styleId="Heading2">
    <w:name w:val="heading 2"/>
    <w:basedOn w:val="Normal"/>
    <w:next w:val="Normal"/>
    <w:link w:val="2Char"/>
    <w:qFormat/>
    <w:rsid w:val="00893436"/>
    <w:pPr>
      <w:keepNext/>
      <w:keepLines/>
      <w:spacing w:before="260" w:after="260" w:line="416" w:lineRule="auto"/>
      <w:outlineLvl w:val="1"/>
    </w:pPr>
    <w:rPr>
      <w:rFonts w:ascii="Arial" w:eastAsia="黑体" w:hAnsi="Arial"/>
      <w:b/>
      <w:bCs/>
      <w:szCs w:val="32"/>
    </w:rPr>
  </w:style>
  <w:style w:type="paragraph" w:styleId="Heading3">
    <w:name w:val="heading 3"/>
    <w:basedOn w:val="Normal"/>
    <w:next w:val="Normal"/>
    <w:link w:val="3Char"/>
    <w:qFormat/>
    <w:rsid w:val="00812228"/>
    <w:pPr>
      <w:keepNext/>
      <w:keepLines/>
      <w:spacing w:before="260" w:after="260" w:line="416" w:lineRule="auto"/>
      <w:outlineLvl w:val="2"/>
    </w:pPr>
    <w:rPr>
      <w:rFonts w:eastAsia="宋体"/>
      <w:b/>
      <w:bC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893436"/>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893436"/>
    <w:rPr>
      <w:rFonts w:ascii="Arial" w:eastAsia="黑体" w:hAnsi="Arial" w:cs="Times New Roman"/>
      <w:b/>
      <w:bCs/>
      <w:sz w:val="32"/>
      <w:szCs w:val="32"/>
    </w:rPr>
  </w:style>
  <w:style w:type="character" w:styleId="FootnoteReference">
    <w:name w:val="footnote reference"/>
    <w:basedOn w:val="DefaultParagraphFont"/>
    <w:rsid w:val="00893436"/>
    <w:rPr>
      <w:vertAlign w:val="superscript"/>
    </w:rPr>
  </w:style>
  <w:style w:type="paragraph" w:styleId="FootnoteText">
    <w:name w:val="footnote text"/>
    <w:basedOn w:val="Normal"/>
    <w:link w:val="Char"/>
    <w:rsid w:val="00893436"/>
    <w:pPr>
      <w:snapToGrid w:val="0"/>
      <w:jc w:val="left"/>
    </w:pPr>
    <w:rPr>
      <w:rFonts w:eastAsia="宋体"/>
      <w:sz w:val="18"/>
    </w:rPr>
  </w:style>
  <w:style w:type="character" w:customStyle="1" w:styleId="Char">
    <w:name w:val="脚注文本 Char"/>
    <w:basedOn w:val="DefaultParagraphFont"/>
    <w:link w:val="FootnoteText"/>
    <w:rsid w:val="00893436"/>
    <w:rPr>
      <w:rFonts w:ascii="Times New Roman" w:eastAsia="宋体" w:hAnsi="Times New Roman" w:cs="Times New Roman"/>
      <w:sz w:val="18"/>
      <w:szCs w:val="20"/>
    </w:rPr>
  </w:style>
  <w:style w:type="paragraph" w:styleId="DocumentMap">
    <w:name w:val="Document Map"/>
    <w:basedOn w:val="Normal"/>
    <w:link w:val="Char0"/>
    <w:uiPriority w:val="99"/>
    <w:semiHidden/>
    <w:unhideWhenUsed/>
    <w:rsid w:val="00893436"/>
    <w:rPr>
      <w:rFonts w:ascii="宋体" w:eastAsia="宋体"/>
      <w:sz w:val="18"/>
      <w:szCs w:val="18"/>
    </w:rPr>
  </w:style>
  <w:style w:type="character" w:customStyle="1" w:styleId="Char0">
    <w:name w:val="文档结构图 Char"/>
    <w:basedOn w:val="DefaultParagraphFont"/>
    <w:link w:val="DocumentMap"/>
    <w:uiPriority w:val="99"/>
    <w:semiHidden/>
    <w:rsid w:val="00893436"/>
    <w:rPr>
      <w:rFonts w:ascii="宋体" w:eastAsia="宋体" w:hAnsi="Times New Roman" w:cs="Times New Roman"/>
      <w:sz w:val="18"/>
      <w:szCs w:val="18"/>
    </w:rPr>
  </w:style>
  <w:style w:type="paragraph" w:styleId="Header">
    <w:name w:val="header"/>
    <w:basedOn w:val="Normal"/>
    <w:link w:val="Char1"/>
    <w:uiPriority w:val="99"/>
    <w:unhideWhenUsed/>
    <w:rsid w:val="003160F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DefaultParagraphFont"/>
    <w:link w:val="Header"/>
    <w:uiPriority w:val="99"/>
    <w:rsid w:val="003160F8"/>
    <w:rPr>
      <w:rFonts w:ascii="Times New Roman" w:eastAsia="方正仿宋简体" w:hAnsi="Times New Roman" w:cs="Times New Roman"/>
      <w:sz w:val="18"/>
      <w:szCs w:val="18"/>
    </w:rPr>
  </w:style>
  <w:style w:type="paragraph" w:styleId="Footer">
    <w:name w:val="footer"/>
    <w:basedOn w:val="Normal"/>
    <w:link w:val="Char2"/>
    <w:uiPriority w:val="99"/>
    <w:unhideWhenUsed/>
    <w:rsid w:val="003160F8"/>
    <w:pPr>
      <w:tabs>
        <w:tab w:val="center" w:pos="4153"/>
        <w:tab w:val="right" w:pos="8306"/>
      </w:tabs>
      <w:snapToGrid w:val="0"/>
      <w:jc w:val="left"/>
    </w:pPr>
    <w:rPr>
      <w:sz w:val="18"/>
      <w:szCs w:val="18"/>
    </w:rPr>
  </w:style>
  <w:style w:type="character" w:customStyle="1" w:styleId="Char2">
    <w:name w:val="页脚 Char"/>
    <w:basedOn w:val="DefaultParagraphFont"/>
    <w:link w:val="Footer"/>
    <w:uiPriority w:val="99"/>
    <w:rsid w:val="003160F8"/>
    <w:rPr>
      <w:rFonts w:ascii="Times New Roman" w:eastAsia="方正仿宋简体" w:hAnsi="Times New Roman" w:cs="Times New Roman"/>
      <w:sz w:val="18"/>
      <w:szCs w:val="18"/>
    </w:rPr>
  </w:style>
  <w:style w:type="paragraph" w:styleId="BalloonText">
    <w:name w:val="Balloon Text"/>
    <w:basedOn w:val="Normal"/>
    <w:link w:val="Char3"/>
    <w:uiPriority w:val="99"/>
    <w:semiHidden/>
    <w:unhideWhenUsed/>
    <w:rsid w:val="00B44BBE"/>
    <w:rPr>
      <w:sz w:val="18"/>
      <w:szCs w:val="18"/>
    </w:rPr>
  </w:style>
  <w:style w:type="character" w:customStyle="1" w:styleId="Char3">
    <w:name w:val="批注框文本 Char"/>
    <w:basedOn w:val="DefaultParagraphFont"/>
    <w:link w:val="BalloonText"/>
    <w:uiPriority w:val="99"/>
    <w:semiHidden/>
    <w:rsid w:val="00B44BBE"/>
    <w:rPr>
      <w:rFonts w:ascii="Times New Roman" w:eastAsia="方正仿宋简体" w:hAnsi="Times New Roman" w:cs="Times New Roman"/>
      <w:sz w:val="18"/>
      <w:szCs w:val="18"/>
    </w:rPr>
  </w:style>
  <w:style w:type="character" w:customStyle="1" w:styleId="3Char">
    <w:name w:val="标题 3 Char"/>
    <w:basedOn w:val="DefaultParagraphFont"/>
    <w:link w:val="Heading3"/>
    <w:rsid w:val="00812228"/>
    <w:rPr>
      <w:rFonts w:ascii="Times New Roman" w:eastAsia="宋体"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Pages>
  <Words>242</Words>
  <Characters>1382</Characters>
  <Application>Microsoft Office Word</Application>
  <DocSecurity>0</DocSecurity>
  <Lines>11</Lines>
  <Paragraphs>3</Paragraphs>
  <ScaleCrop>false</ScaleCrop>
  <Company>微软中国</Company>
  <LinksUpToDate>false</LinksUpToDate>
  <CharactersWithSpaces>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马晓玲</cp:lastModifiedBy>
  <cp:revision>39</cp:revision>
  <dcterms:created xsi:type="dcterms:W3CDTF">2013-07-29T02:29:00Z</dcterms:created>
  <dcterms:modified xsi:type="dcterms:W3CDTF">2022-07-06T06:27:00Z</dcterms:modified>
</cp:coreProperties>
</file>