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bookmarkStart w:id="0" w:name="_GoBack"/>
      <w:bookmarkEnd w:id="0"/>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苏银理财启源现金6号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苏银理财启源现金6号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2023年07月20日</w:t>
      </w:r>
      <w:r>
        <w:rPr>
          <w:rFonts w:ascii="楷体" w:eastAsia="楷体" w:hAnsi="楷体" w:cs="楷体" w:hint="eastAsia"/>
        </w:rPr>
        <w:t xml:space="preserve">成立，于</w:t>
      </w:r>
      <w:r>
        <w:rPr>
          <w:rFonts w:ascii="楷体" w:eastAsia="楷体" w:hAnsi="楷体" w:cs="楷体" w:hint="eastAsia"/>
          <w:spacing w:val="-7"/>
        </w:rPr>
        <w:t xml:space="preserve">2023年07月20日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1" w:name="_Toc535504139"/>
      <w:r>
        <w:rPr>
          <w:rFonts w:ascii="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苏银理财启源现金6号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Z7003123000103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13,375,525,857.07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13,375,525,857.07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31000188000543259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13,376,783,154.65</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100.01%</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报告日期</w:t>
            </w:r>
          </w:p>
        </w:tc>
        <w:tc>
          <w:tcPr>
            <w:tcW w:w="2085"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销售名称</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每万份收益</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七日年化收益率</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2026-03-31</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苏银理财启源现金6号A</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0.4280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1.55%</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苏银理财启源现金6号B</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0.3759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苏银理财启源现金6号DG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0.4663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1.69%</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苏银理财启源现金6号DG2</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0.4931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苏银理财启源现金6号F</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0.4143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苏银理财启源现金6号H</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苏银理财启源现金6号I</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0.4006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1.44%</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苏银理财启源现金6号J</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0.3759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苏银理财启源现金6号JS鑫福款</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0.4193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苏银理财启源现金6号K</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苏银理财启源现金6号M</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苏银理财启源现金6号N</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苏银理财启源现金6号P</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0.4170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苏银理财启源现金6号S</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苏银理财启源现金6号T</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苏银理财启源现金6号W</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0.3540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1.27%</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苏银理财启源现金6号X</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苏银理财启源现金6号（芙蓉锦程·优选）</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0.3896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59"/>
        <w:gridCol w:w="2644"/>
        <w:gridCol w:w="2670"/>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59"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70"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67.62%</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32.38%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86"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44"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67.62%</w:t>
            </w:r>
          </w:p>
        </w:tc>
        <w:tc>
          <w:tcPr>
            <w:tcW w:w="2670"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32.38%</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975,786,775.94</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7.21%</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上银慧增利货币B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430,560,727.02</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3.18%</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25农发清发02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400,324,938.80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2.96%</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红土创新优淳货币B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358,027,747.07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2.64%</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25国元证券CP013</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201,561,479.45</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1.49%</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银行存款20251201</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201,122,611.38</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1.49%</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25北京银行CD095</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199,243,648.53</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1.47%</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25光大银行CD138</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198,992,536.12</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1.47%</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25徽商银行CD153</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198,812,732.58</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1.47%</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25北京银行CD161</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198,190,145.46</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1.46%</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江苏省国际信托有限责任公司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1,120,000,825.00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19,196.19</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1,380,100,801.60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2,066,469.34</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706,830.28</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341,449.00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13,375,525,857.07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14,228,292,912.51</w:t>
            </w:r>
          </w:p>
        </w:tc>
      </w:tr>
    </w:tbl>
    <w:p>
      <w:pPr>
        <w:pStyle w:val="标题4"/>
        <w:rPr>
          <w:rFonts w:ascii="楷体" w:hAnsi="楷体" w:cs="楷体"/>
        </w:rPr>
      </w:pPr>
    </w:p>
    <w:p>
      <w:pPr>
        <w:pStyle w:val="标题4"/>
        <w:rPr>
          <w:rFonts w:ascii="楷体" w:hAnsi="楷体" w:cs="楷体"/>
          <w:sz w:val="22"/>
          <w:szCs w:val="24"/>
        </w:rPr>
      </w:pPr>
      <w:r>
        <w:rPr>
          <w:rFonts w:ascii="楷体" w:hAnsi="楷体" w:cs="楷体" w:hint="eastAsia"/>
          <w:sz w:val="22"/>
          <w:szCs w:val="24"/>
        </w:rPr>
        <w:t xml:space="preserve">（七）报告期内单一投资者持有产品份额比例达到或者超过总份额20%的情形</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35"/>
        <w:gridCol w:w="1725"/>
        <w:gridCol w:w="1980"/>
        <w:gridCol w:w="1905"/>
        <w:gridCol w:w="16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pStyle w:val="标题4"/>
              <w:jc w:val="center"/>
              <w:rPr>
                <w:rFonts w:ascii="楷体" w:hAnsi="楷体" w:cs="楷体"/>
                <w:sz w:val="22"/>
                <w:szCs w:val="24"/>
              </w:rPr>
            </w:pPr>
            <w:r>
              <w:rPr>
                <w:rFonts w:ascii="楷体" w:hAnsi="楷体" w:cs="楷体" w:hint="eastAsia"/>
                <w:sz w:val="22"/>
                <w:szCs w:val="24"/>
              </w:rPr>
              <w:t xml:space="preserve">序号</w:t>
            </w:r>
          </w:p>
        </w:tc>
        <w:tc>
          <w:tcPr>
            <w:tcW w:w="1725" w:type="dxa"/>
          </w:tcPr>
          <w:p>
            <w:pPr>
              <w:pStyle w:val="标题4"/>
              <w:jc w:val="center"/>
              <w:rPr>
                <w:rFonts w:ascii="楷体" w:hAnsi="楷体" w:cs="楷体"/>
                <w:sz w:val="22"/>
                <w:szCs w:val="24"/>
              </w:rPr>
            </w:pPr>
            <w:r>
              <w:rPr>
                <w:rFonts w:ascii="楷体" w:hAnsi="楷体" w:cs="楷体" w:hint="eastAsia"/>
                <w:sz w:val="22"/>
                <w:szCs w:val="24"/>
              </w:rPr>
              <w:t xml:space="preserve">投资者类别</w:t>
            </w:r>
          </w:p>
        </w:tc>
        <w:tc>
          <w:tcPr>
            <w:tcW w:w="1980" w:type="dxa"/>
          </w:tcPr>
          <w:p>
            <w:pPr>
              <w:pStyle w:val="标题4"/>
              <w:jc w:val="center"/>
              <w:rPr>
                <w:rFonts w:ascii="楷体" w:hAnsi="楷体" w:cs="楷体"/>
                <w:sz w:val="22"/>
                <w:szCs w:val="24"/>
              </w:rPr>
            </w:pPr>
            <w:r>
              <w:rPr>
                <w:rFonts w:ascii="楷体" w:hAnsi="楷体" w:cs="楷体" w:hint="eastAsia"/>
                <w:sz w:val="22"/>
                <w:szCs w:val="24"/>
              </w:rPr>
              <w:t xml:space="preserve">期末持有份额</w:t>
            </w:r>
          </w:p>
        </w:tc>
        <w:tc>
          <w:tcPr>
            <w:tcW w:w="1905" w:type="dxa"/>
          </w:tcPr>
          <w:p>
            <w:pPr>
              <w:pStyle w:val="标题4"/>
              <w:jc w:val="center"/>
              <w:rPr>
                <w:rFonts w:ascii="楷体" w:hAnsi="楷体" w:cs="楷体"/>
                <w:sz w:val="22"/>
                <w:szCs w:val="24"/>
              </w:rPr>
            </w:pPr>
            <w:r>
              <w:rPr>
                <w:rFonts w:ascii="楷体" w:hAnsi="楷体" w:cs="楷体" w:hint="eastAsia"/>
                <w:sz w:val="22"/>
                <w:szCs w:val="24"/>
              </w:rPr>
              <w:t xml:space="preserve">份额占比</w:t>
            </w:r>
          </w:p>
        </w:tc>
        <w:tc>
          <w:tcPr>
            <w:tcW w:w="1676" w:type="dxa"/>
          </w:tcPr>
          <w:p>
            <w:pPr>
              <w:pStyle w:val="标题4"/>
              <w:jc w:val="center"/>
              <w:rPr>
                <w:rFonts w:ascii="楷体" w:hAnsi="楷体" w:cs="楷体"/>
                <w:sz w:val="22"/>
                <w:szCs w:val="24"/>
              </w:rPr>
            </w:pPr>
            <w:r>
              <w:rPr>
                <w:rFonts w:ascii="楷体" w:hAnsi="楷体" w:cs="楷体" w:hint="eastAsia"/>
                <w:sz w:val="22"/>
                <w:szCs w:val="24"/>
              </w:rPr>
              <w:t xml:space="preserve">报告期内份额变化情况</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jc w:val="center"/>
              <w:rPr>
                <w:rFonts w:ascii="楷体" w:eastAsia="楷体" w:hAnsi="楷体" w:cs="楷体"/>
                <w:sz w:val="22"/>
              </w:rPr>
            </w:pPr>
            <w:r>
              <w:rPr>
                <w:rFonts w:ascii="楷体" w:eastAsia="楷体" w:hAnsi="楷体" w:cs="楷体" w:hint="eastAsia"/>
                <w:sz w:val="22"/>
              </w:rPr>
              <w:t xml:space="preserve">-</w:t>
            </w:r>
          </w:p>
        </w:tc>
        <w:tc>
          <w:tcPr>
            <w:tcW w:w="1725" w:type="dxa"/>
          </w:tcPr>
          <w:p>
            <w:pPr>
              <w:jc w:val="center"/>
              <w:rPr>
                <w:rFonts w:ascii="楷体" w:eastAsia="楷体" w:hAnsi="楷体" w:cs="楷体"/>
                <w:sz w:val="22"/>
              </w:rPr>
            </w:pPr>
            <w:r>
              <w:rPr>
                <w:rFonts w:ascii="楷体" w:eastAsia="楷体" w:hAnsi="楷体" w:cs="楷体" w:hint="eastAsia"/>
                <w:sz w:val="22"/>
              </w:rPr>
              <w:t xml:space="preserve">-</w:t>
            </w:r>
          </w:p>
        </w:tc>
        <w:tc>
          <w:tcPr>
            <w:tcW w:w="1980" w:type="dxa"/>
          </w:tcPr>
          <w:p>
            <w:pPr>
              <w:jc w:val="center"/>
              <w:rPr>
                <w:rFonts w:ascii="楷体" w:eastAsia="楷体" w:hAnsi="楷体" w:cs="楷体"/>
                <w:sz w:val="22"/>
              </w:rPr>
            </w:pPr>
            <w:r>
              <w:rPr>
                <w:rFonts w:ascii="楷体" w:eastAsia="楷体" w:hAnsi="楷体" w:cs="楷体" w:hint="eastAsia"/>
                <w:sz w:val="22"/>
              </w:rPr>
              <w:t xml:space="preserve">-</w:t>
            </w:r>
          </w:p>
        </w:tc>
        <w:tc>
          <w:tcPr>
            <w:tcW w:w="1905" w:type="dxa"/>
          </w:tcPr>
          <w:p>
            <w:pPr>
              <w:jc w:val="center"/>
              <w:rPr>
                <w:rFonts w:ascii="楷体" w:eastAsia="楷体" w:hAnsi="楷体" w:cs="楷体"/>
                <w:sz w:val="22"/>
              </w:rPr>
            </w:pPr>
            <w:r>
              <w:rPr>
                <w:rFonts w:ascii="楷体" w:eastAsia="楷体" w:hAnsi="楷体" w:cs="楷体" w:hint="eastAsia"/>
                <w:sz w:val="22"/>
              </w:rPr>
              <w:t xml:space="preserve">-</w:t>
            </w:r>
          </w:p>
        </w:tc>
        <w:tc>
          <w:tcPr>
            <w:tcW w:w="1676" w:type="dxa"/>
          </w:tcPr>
          <w:p>
            <w:pPr>
              <w:jc w:val="center"/>
              <w:rPr>
                <w:rFonts w:ascii="楷体" w:eastAsia="楷体" w:hAnsi="楷体" w:cs="楷体"/>
                <w:sz w:val="22"/>
              </w:rPr>
            </w:pPr>
            <w:r>
              <w:rPr>
                <w:rFonts w:ascii="楷体" w:eastAsia="楷体" w:hAnsi="楷体" w:cs="楷体" w:hint="eastAsia"/>
                <w:sz w:val="22"/>
              </w:rPr>
              <w:t xml:space="preserve">-</w:t>
            </w:r>
          </w:p>
        </w:tc>
      </w:tr>
    </w:tbl>
    <w:p>
      <w:pPr>
        <w:pStyle w:val="Heading3"/>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2026年第一季度，是"十五五"规划实施的开局之季。在党中央、国务院的坚强领导下，宏观政策靠前发力、协同发力，经济运行起步有力、开局良好，为实现全年经济社会发展目标奠定了坚实基础。</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一季度主要经济指标呈现回升向好态势。国内生产总值达31.88万亿元，同比增长5.4%。全国固定资产投资同比增长4.2%，增速较去年回升1个百分点；社会消费品零售总额12.47万亿元，同比增长4.6%；货物贸易进出口总值11.84万亿元，同比增长15%，季度规模创历史同期新高，增速为近五年最高。总体而言，经济内生动能持续修复，高质量发展扎实推进。债市方面，一季度债券市场呈现"牛陡"特征，短端利率下行幅度显著大于长端，收益率曲线陡峭化趋势明显。1年期国债收益率由季初1.34%附近震荡下行至季末1.20%-1.22%区间，下行幅度逾10个基点。10年期国债收益率在1.77%-1.90%区间宽幅震荡。具体来看：季初收益率位于1.84%附近，受经济开年向好预期推动，于1月上旬上行触及1.90%的季度高点；此后，在流动性保持合理充裕及配置盘"开门红"驱动下，收益率转为震荡下行，春节前下探至1.78%附近；节后小幅回调后再次下行，于2月末触及1.77%的季度低点。进入3月，市场在多空因素交织下呈拉锯态势，季末10年期国债收益率收于1.81%-1.83%附近。整体而言，10年期与1年期国债期限利差明显走阔，反映出资金面宽松对短端的支撑更为强劲，而长端则更多受到基本面预期与供需格局的扰动。</w:t>
      </w:r>
      <w:r>
        <w:rPr>
          <w:rFonts w:ascii="楷体" w:eastAsia="楷体" w:hAnsi="楷体" w:cs="楷体" w:hint="eastAsia"/>
          <w:spacing w:val="8"/>
          <w:sz w:val="21"/>
        </w:rPr>
        <w:br/>
      </w:r>
      <w:r>
        <w:rPr>
          <w:rFonts w:ascii="楷体" w:eastAsia="楷体" w:hAnsi="楷体" w:cs="楷体" w:hint="eastAsia"/>
          <w:spacing w:val="8"/>
          <w:sz w:val="21"/>
        </w:rPr>
        <w:t xml:space="preserve">    报告期内，管理人严格遵循监管要求，持续加强对现金管理类产品的信用风险、久期风险、集中度风险和流动性风险的管控。资产配置策略主要集中于低风险资产，如银行存款、回购、同业存单及证券公司债，结合适度的杠杆运用和梯形策略，确保在不同资产类别和期限之间实现合理的均衡，最大程度地降低风险。面对一季度债券市场的运行态势，管理人积极调整投资策略，维持一二级信用债配置力度，确保产品久期稳定。另一方面，产品利用自身资产配置情况，适时增加产品杠杆，较大幅度提高了高收益资管计划投资比例，这一策略有效提升了产品的静态收益，为投资者提供了相对稳定的回报，帮助其应对市场的不确定性。管理人在资产配置上灵活应对，密切关注宏观经济变化，从而及时调整投资组合。管理人通过灵活的资产配置和恰当的投资策略，确保了现金管理类产品在复杂市场环境下的稳健表现，为投资者提供了更为可靠的收益保障。</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第二季度，尽管一季度经济数据整体改善，但在外部不确定性犹存的背景下，宏观政策保持支持性基调的必要性依然较大。货币政策有望维持稳健偏宽松取向，以配合财政政策实施，流动性环境整体保持平稳的确定性较高。债券市场在经历一季度的曲线陡峭化行情后，后续走势将更取决于实体经济复苏成色、政策落地节奏以及外部环境演变。综合考量当前收益率曲线形态及政策环境，二季度债市收益率或存在一定下行空间，建议择机适当布局。</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sz w:val="21"/>
        </w:rPr>
      </w:pPr>
      <w:r>
        <w:rPr>
          <w:rFonts w:ascii="楷体" w:eastAsia="楷体" w:hAnsi="楷体" w:cs="楷体" w:hint="eastAsia"/>
          <w:spacing w:val="9"/>
          <w:sz w:val="21"/>
        </w:rPr>
        <w:t xml:space="preserve">    2026年一季度，市场流动性整体宽松，本产品在投资高流动性的利率债和AAA存单以外，动态调整产品杠杆率，充分做好资金准备，平稳度过各关键时点，充分满足了产品的流动性需求，保障了投资者的赎回需求。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展望后市，本产品将继续重点投资信用等级较高、流动性较好的各类标的，做好资金安排和流动性预判，充分满足产品流动性需求。</w:t>
      </w:r>
    </w:p>
    <w:p>
      <w:pPr>
        <w:ind w:firstLine="420" w:firstLineChars="200"/>
        <w:rPr>
          <w:rFonts w:ascii="楷体" w:eastAsia="楷体" w:hAnsi="楷体" w:cs="楷体"/>
          <w:bCs/>
          <w:kern w:val="0"/>
          <w:szCs w:val="21"/>
        </w:rPr>
      </w:pPr>
    </w:p>
    <w:p>
      <w:pPr>
        <w:rPr>
          <w:rFonts w:ascii="楷体" w:eastAsia="楷体" w:hAnsi="楷体" w:cs="楷体"/>
        </w:rPr>
      </w:pPr>
    </w:p>
    <w:p>
      <w:pPr>
        <w:ind w:firstLine="420" w:firstLineChars="200"/>
        <w:rPr>
          <w:rFonts w:ascii="楷体" w:eastAsia="楷体" w:hAnsi="楷体" w:cs="楷体"/>
          <w:bCs/>
          <w:kern w:val="0"/>
          <w:szCs w:val="21"/>
        </w:rPr>
      </w:pPr>
    </w:p>
    <w:p>
      <w:pPr>
        <w:rPr>
          <w:rFonts w:ascii="楷体" w:eastAsia="楷体" w:hAnsi="楷体" w:cs="楷体"/>
          <w:sz w:val="15"/>
          <w:szCs w:val="15"/>
        </w:rPr>
      </w:pPr>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71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71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72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72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2025-10-14T02:25:40Z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Office_10.8.2.7119_F1E327BC-269C-435d-A152-05C5408002CA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29</cp:revision>
  <dcterms:created xsi:type="dcterms:W3CDTF">2021-11-18T10:04:00Z</dcterms:created>
  <dcterms:modified xsi:type="dcterms:W3CDTF">2026-04-17T07:20:30Z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