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sz w:val="36"/>
          <w:szCs w:val="36"/>
        </w:rPr>
        <w:t xml:space="preserve">“</w:t>
      </w:r>
      <w:r>
        <w:rPr>
          <w:rFonts w:ascii="楷体" w:eastAsia="楷体" w:hAnsi="楷体" w:cs="楷体" w:hint="eastAsia"/>
          <w:b/>
          <w:bCs/>
          <w:spacing w:val="-1"/>
          <w:sz w:val="36"/>
          <w:szCs w:val="36"/>
        </w:rPr>
        <w:t xml:space="preserve">苏银理财恒源鑫裕固收增强最短持有360天</w:t>
      </w:r>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2026年一季度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苏银理财恒源鑫裕固收增强最短持有360天</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2023年06月01日</w:t>
      </w:r>
      <w:r>
        <w:rPr>
          <w:rFonts w:ascii="楷体" w:eastAsia="楷体" w:hAnsi="楷体" w:cs="楷体" w:hint="eastAsia"/>
        </w:rPr>
        <w:t xml:space="preserve">成立，于</w:t>
      </w:r>
      <w:r>
        <w:rPr>
          <w:rFonts w:ascii="楷体" w:eastAsia="楷体" w:hAnsi="楷体" w:cs="楷体" w:hint="eastAsia"/>
          <w:spacing w:val="-7"/>
        </w:rPr>
        <w:t xml:space="preserve">2023年06月01日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0" w:name="_Toc535504139"/>
      <w:r>
        <w:rPr>
          <w:rFonts w:ascii="楷体" w:eastAsia="楷体" w:hAnsi="楷体" w:cs="楷体" w:hint="eastAsia"/>
        </w:rPr>
        <w:t xml:space="preserve">、产品基本情况</w:t>
      </w:r>
      <w:bookmarkEnd w:id="0"/>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苏银理财恒源鑫裕固收增强最短持有360天</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Z7003123000078</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开放式净值型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22,557,602,671.09</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24,768,525,933.02</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31000188000535560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24,783,625,050.84</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100.06%</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2026-03-31</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苏银理财恒源鑫裕（固收增强）最短持有360天A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1.096739</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1.096739</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中债-新综合全价(1-3年)指数收益率*95%+沪深300指数收益率*5%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苏银理财恒源鑫裕（固收增强）最短持有360天D</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1.100023</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1.100023</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中债-新综合全价(1-3年)指数收益率*95%+沪深300指数收益率*5%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苏银理财恒源鑫裕（固收增强）最短持有360天E</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1.102962</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1.102962</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中债-新综合全价(1-3年)指数收益率*95%+沪深300指数收益率*5%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苏银理财恒源鑫裕（固收增强）最短持有360天F</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1.096991</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1.096991</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中债-新综合全价(1-3年)指数收益率*95%+沪深300指数收益率*5%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苏银理财恒源鑫裕（固收增强）最短持有360天G</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1.004118</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1.004118</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中债-新综合全价(1-3年)指数收益率*95%+沪深300指数收益率*5%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苏银理财恒源鑫裕（固收增强）最短持有360天芙蓉锦程·优选</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1.096960</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1.096960</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中债-新综合全价(1-3年)指数收益率*95%+沪深300指数收益率*5%</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87"/>
        <w:gridCol w:w="2644"/>
        <w:gridCol w:w="2642"/>
      </w:tblGrid>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8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4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bookmarkStart w:id="1" w:name="_GoBack"/>
            <w:bookmarkEnd w:id="1"/>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35.64%</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56.35%</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权益类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1.08%</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1.43%</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商品及金融衍生品类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1.16%</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混合类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0.15%</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4.19%</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14"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4"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38.03%</w:t>
            </w:r>
          </w:p>
        </w:tc>
        <w:tc>
          <w:tcPr>
            <w:tcW w:w="264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61.97%</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拆放同业及债券买入返售</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拆放同业及债券买入返售</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1,209,443,959.53</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4.86%</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763,923,065.98</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3.07%</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固收增强360天农行南京20260303</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700,890,944.38</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2.81%</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固收增强360天农行江苏20250909</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302,856,000.00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1.22%</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5</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271,805,166.66</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1.09%</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6</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250,021,800.58</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1.00%</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7</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214,556,843.58</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0.86%</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8</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固收增强360天农行南京20260312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200,171,111.20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0.80%</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9</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200,017,470.89</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0.80%</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10</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25杭州银行CD189</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199,826,540.66</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0.80%</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highlight w:val="none"/>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苏州银行股份有限公司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249,384.28</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回购交易</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东吴证券股份有限公司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1,083,160,045.00</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回购交易</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1,138,000,000.00</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1,050,268.44</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江苏苏州农村商业银行股份有限公司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27,329.25</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8,145,016.21</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1,805,376.00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苏银理财恒源鑫裕（固收增强）最短持有360天A</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440,335,044.70</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2026-03-31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22,557,602,671.09</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4507"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15,308,922,314.18</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四</w:t>
      </w:r>
      <w:r>
        <w:rPr>
          <w:rFonts w:ascii="楷体" w:hAnsi="楷体" w:cs="楷体" w:hint="eastAsia"/>
          <w:lang w:eastAsia="zh-CN"/>
        </w:rPr>
        <w:t xml:space="preserve">、</w:t>
      </w:r>
      <w:r>
        <w:rPr>
          <w:rFonts w:ascii="楷体" w:eastAsia="楷体" w:hAnsi="楷体" w:cs="楷体" w:hint="eastAsia"/>
        </w:rPr>
        <w:t xml:space="preserve">投资运作情况</w:t>
      </w:r>
    </w:p>
    <w:p>
      <w:pPr>
        <w:pStyle w:val="Heading3"/>
        <w:rPr>
          <w:rFonts w:ascii="楷体" w:eastAsia="楷体" w:hAnsi="楷体" w:cs="楷体" w:hint="eastAsia"/>
          <w:b w:val="0"/>
          <w:sz w:val="21"/>
        </w:rPr>
      </w:pPr>
      <w:r>
        <w:rPr>
          <w:rFonts w:ascii="楷体" w:eastAsia="楷体" w:hAnsi="楷体" w:cs="楷体" w:hint="eastAsia"/>
          <w:b w:val="0"/>
          <w:sz w:val="21"/>
        </w:rPr>
        <w:t xml:space="preserve">1、运作期回顾</w:t>
      </w:r>
    </w:p>
    <w:p>
      <w:pPr>
        <w:pStyle w:val="BodyText"/>
        <w:spacing w:before="0" w:line="240" w:lineRule="auto"/>
        <w:ind w:left="0" w:right="0" w:firstLine="0" w:firstLineChars="0"/>
        <w:rPr>
          <w:rFonts w:ascii="楷体" w:eastAsia="楷体" w:hAnsi="楷体" w:cs="楷体" w:hint="eastAsia"/>
          <w:spacing w:val="8"/>
          <w:sz w:val="21"/>
        </w:rPr>
      </w:pPr>
      <w:r>
        <w:rPr>
          <w:rFonts w:ascii="楷体" w:eastAsia="楷体" w:hAnsi="楷体" w:cs="楷体" w:hint="eastAsia"/>
          <w:spacing w:val="8"/>
          <w:sz w:val="21"/>
        </w:rPr>
        <w:t xml:space="preserve">    回顾一季度，万得全A指数收跌1.15%，沪深300指数下跌3.89%，中证1000指数收涨0.32%，结构性行情显著。开年在海内外政策的双重合力下，沪指走出十七连阳显著提振了市场情绪，市场在震荡中上行直至2月底的中东战争爆发，市场开始大幅回调，至3月底年初以来沪指已经收跌。美伊冲突爆发以来，全球各类资产均迎来较大级别波动和回撤，对各类产品的净值均产生了扰动。</w:t>
      </w:r>
    </w:p>
    <w:p>
      <w:pPr>
        <w:pStyle w:val="BodyText"/>
        <w:spacing w:before="43" w:line="275" w:lineRule="auto"/>
        <w:ind w:right="1799" w:firstLine="226" w:firstLineChars="100"/>
        <w:rPr>
          <w:rFonts w:ascii="楷体" w:eastAsia="楷体" w:hAnsi="楷体" w:cs="楷体" w:hint="eastAsia"/>
          <w:spacing w:val="8"/>
          <w:sz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2、后市展望及下阶段投资策略</w:t>
      </w:r>
    </w:p>
    <w:p>
      <w:pPr>
        <w:pStyle w:val="BodyText"/>
        <w:spacing w:before="0" w:line="240" w:lineRule="auto"/>
        <w:ind w:left="0" w:right="0" w:firstLine="0" w:firstLineChars="0"/>
        <w:jc w:val="both"/>
        <w:rPr>
          <w:rFonts w:ascii="楷体" w:eastAsia="楷体" w:hAnsi="楷体" w:cs="楷体" w:hint="eastAsia"/>
          <w:sz w:val="21"/>
        </w:rPr>
      </w:pPr>
      <w:r>
        <w:rPr>
          <w:rFonts w:ascii="楷体" w:eastAsia="楷体" w:hAnsi="楷体" w:cs="楷体" w:hint="eastAsia"/>
          <w:spacing w:val="9"/>
          <w:sz w:val="21"/>
        </w:rPr>
        <w:t xml:space="preserve">    对于资产而言，在全球在工业化的大背景下，中国的制造业有望重估，长期看中国资产的估值仍有较大的提升空间，会有相应的资本长期流入，因此我们仍然有坚定的信心。但是中短期来看，在波动率加剧的投资环境中，我们会加大均衡配置的力度，调整产品结构，增加产品的反脆弱性，重点管控产品波动，不断丰富权益策略的收益来源和方向，争取在更高的安全边际上为持有人获得更加稳健的收益。</w:t>
      </w:r>
    </w:p>
    <w:p>
      <w:pPr>
        <w:ind w:firstLine="420" w:firstLineChars="200"/>
        <w:rPr>
          <w:rFonts w:ascii="楷体" w:eastAsia="楷体" w:hAnsi="楷体" w:cs="楷体" w:hint="eastAsia"/>
          <w:bCs/>
          <w:kern w:val="0"/>
          <w:szCs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3、流动性风险分析</w:t>
      </w:r>
    </w:p>
    <w:p>
      <w:pPr>
        <w:pStyle w:val="BodyText"/>
        <w:spacing w:before="0" w:line="240" w:lineRule="auto"/>
        <w:ind w:left="0" w:right="0" w:firstLine="0" w:firstLineChars="0"/>
        <w:rPr>
          <w:rFonts w:ascii="楷体" w:eastAsia="楷体" w:hAnsi="楷体" w:cs="楷体" w:hint="eastAsia"/>
          <w:sz w:val="21"/>
        </w:rPr>
      </w:pPr>
      <w:r>
        <w:rPr>
          <w:rFonts w:ascii="楷体" w:eastAsia="楷体" w:hAnsi="楷体" w:cs="楷体" w:hint="eastAsia"/>
          <w:spacing w:val="9"/>
          <w:sz w:val="21"/>
        </w:rPr>
        <w:t xml:space="preserve">    本产品投向债券资产信用资质较好，股票资产仓位较低，整体流动性风险可控。</w:t>
      </w:r>
    </w:p>
    <w:p>
      <w:pPr>
        <w:ind w:firstLine="420" w:firstLineChars="200"/>
        <w:rPr>
          <w:rFonts w:ascii="楷体" w:eastAsia="楷体" w:hAnsi="楷体" w:cs="楷体" w:hint="eastAsia"/>
          <w:bCs/>
          <w:kern w:val="0"/>
          <w:szCs w:val="21"/>
        </w:rPr>
      </w:pPr>
    </w:p>
    <w:p>
      <w:pPr>
        <w:rPr>
          <w:rFonts w:ascii="楷体" w:eastAsia="楷体" w:hAnsi="楷体" w:cs="楷体" w:hint="eastAsia"/>
        </w:rPr>
      </w:pPr>
    </w:p>
    <w:p>
      <w:pPr>
        <w:ind w:firstLine="420" w:firstLineChars="200"/>
        <w:rPr>
          <w:rFonts w:ascii="楷体" w:eastAsia="楷体" w:hAnsi="楷体" w:cs="楷体" w:hint="eastAsia"/>
          <w:bCs/>
          <w:kern w:val="0"/>
          <w:szCs w:val="21"/>
        </w:rPr>
      </w:pP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2026年03月31日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E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3948"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3950"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3951"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3953"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6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宋体" w:hAnsi="Arial" w:eastAsiaTheme="minorEastAsia" w:cs="Arial"/>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character" w:styleId="annotationreference">
    <w:name w:val="annotation reference"/>
    <w:uiPriority w:val="99"/>
    <w:unhideWhenUsed/>
    <w:qFormat/>
    <w:rPr>
      <w:sz w:val="21"/>
      <w:szCs w:val="21"/>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zhangguoxing</cp:lastModifiedBy>
  <dcterms:modified xsi:type="dcterms:W3CDTF">2025-10-13T11:54:56Z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18</TotalTime>
  <ScaleCrop>false</ScaleCrop>
  <LinksUpToDate>false</LinksUpToDate>
  <CharactersWithSpaces>2803</CharactersWithSpaces>
  <Application>WPS Office_10.8.2.7119_F1E327BC-269C-435d-A152-05C5408002CA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2052-10.8.2.7119</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18</TotalTime>
  <Pages>4</Pages>
  <Words>419</Words>
  <Characters>2389</Characters>
  <Application>WPS Office_10.8.2.7119_F1E327BC-269C-435d-A152-05C5408002CA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zhangguoxing</cp:lastModifiedBy>
  <cp:revision>22</cp:revision>
  <dcterms:created xsi:type="dcterms:W3CDTF">2021-11-18T10:04:00Z</dcterms:created>
  <dcterms:modified xsi:type="dcterms:W3CDTF">2026-04-17T07:34:52Z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2052-10.8.2.7119</vt:lpstr>
  </property>
  <property fmtid="{D5CDD505-2E9C-101B-9397-08002B2CF9AE}" pid="3" name="ICV">
    <vt:lpstr>31802637FF8E4298AD1DCE61A946E12D</vt:lpstr>
  </property>
</Properties>
</file>