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784C5">
      <w:pPr>
        <w:rPr>
          <w:rFonts w:eastAsia="楷体_GB2312"/>
        </w:rPr>
      </w:pPr>
      <w:r>
        <w:rPr>
          <w:rFonts w:eastAsia="楷体_GB2312"/>
          <w:b/>
          <w:bCs/>
        </w:rPr>
        <w:t>信贷</w:t>
      </w:r>
      <w:r>
        <w:rPr>
          <w:rFonts w:hint="eastAsia" w:eastAsia="楷体_GB2312"/>
          <w:b/>
          <w:bCs/>
        </w:rPr>
        <w:t>合同202</w:t>
      </w:r>
      <w:r>
        <w:rPr>
          <w:rFonts w:hint="eastAsia" w:eastAsia="楷体_GB2312"/>
          <w:b/>
          <w:bCs/>
          <w:lang w:val="en-US" w:eastAsia="zh-CN"/>
        </w:rPr>
        <w:t>5</w:t>
      </w:r>
      <w:r>
        <w:rPr>
          <w:rFonts w:hint="eastAsia" w:eastAsia="楷体_GB2312"/>
          <w:b/>
          <w:bCs/>
        </w:rPr>
        <w:t>-008</w:t>
      </w:r>
    </w:p>
    <w:p w14:paraId="7D7D3056">
      <w:pPr>
        <w:adjustRightInd w:val="0"/>
        <w:snapToGrid w:val="0"/>
        <w:spacing w:line="800" w:lineRule="exact"/>
        <w:jc w:val="center"/>
        <w:rPr>
          <w:rFonts w:eastAsia="黑体"/>
          <w:sz w:val="36"/>
          <w:szCs w:val="36"/>
        </w:rPr>
      </w:pPr>
      <w:r>
        <w:rPr>
          <w:rFonts w:hint="eastAsia" w:eastAsia="黑体"/>
          <w:b/>
          <w:sz w:val="38"/>
          <w:szCs w:val="44"/>
        </w:rPr>
        <w:t>流动资金</w:t>
      </w:r>
      <w:r>
        <w:rPr>
          <w:rFonts w:eastAsia="黑体"/>
          <w:b/>
          <w:sz w:val="38"/>
          <w:szCs w:val="44"/>
        </w:rPr>
        <w:t>借款合同</w:t>
      </w:r>
    </w:p>
    <w:p w14:paraId="46B44AFA">
      <w:pPr>
        <w:spacing w:line="360" w:lineRule="exact"/>
        <w:jc w:val="right"/>
        <w:rPr>
          <w:rFonts w:eastAsia="楷体_GB2312"/>
          <w:b/>
        </w:rPr>
      </w:pPr>
    </w:p>
    <w:p w14:paraId="0DAD3CDA">
      <w:pPr>
        <w:spacing w:line="360" w:lineRule="exact"/>
        <w:ind w:right="420"/>
        <w:jc w:val="center"/>
        <w:rPr>
          <w:rFonts w:eastAsia="楷体_GB2312"/>
        </w:rPr>
      </w:pPr>
      <w:r>
        <w:rPr>
          <w:rFonts w:hint="eastAsia" w:eastAsia="楷体_GB2312"/>
        </w:rPr>
        <w:t xml:space="preserve">                               </w:t>
      </w:r>
      <w:r>
        <w:rPr>
          <w:rFonts w:eastAsia="楷体_GB2312"/>
        </w:rPr>
        <w:t>合同号：</w:t>
      </w:r>
      <w:r>
        <w:rPr>
          <w:rFonts w:eastAsia="楷体_GB2312"/>
          <w:u w:val="single"/>
        </w:rPr>
        <w:t xml:space="preserve">      </w:t>
      </w:r>
      <w:r>
        <w:rPr>
          <w:rFonts w:hint="eastAsia" w:eastAsia="楷体_GB2312"/>
          <w:u w:val="single"/>
        </w:rPr>
        <w:t xml:space="preserve">             </w:t>
      </w:r>
    </w:p>
    <w:p w14:paraId="4A043D7A">
      <w:pPr>
        <w:spacing w:line="360" w:lineRule="exact"/>
        <w:rPr>
          <w:rFonts w:eastAsia="楷体_GB2312"/>
        </w:rPr>
      </w:pPr>
    </w:p>
    <w:p w14:paraId="1FB759B3">
      <w:pPr>
        <w:spacing w:line="360" w:lineRule="exact"/>
        <w:rPr>
          <w:rFonts w:eastAsia="楷体_GB2312"/>
          <w:b/>
          <w:u w:val="single"/>
        </w:rPr>
      </w:pPr>
      <w:r>
        <w:rPr>
          <w:rFonts w:eastAsia="楷体_GB2312"/>
          <w:b/>
        </w:rPr>
        <w:t>贷款人：</w:t>
      </w:r>
      <w:r>
        <w:rPr>
          <w:rFonts w:eastAsia="楷体_GB2312"/>
          <w:b/>
          <w:bCs/>
          <w:u w:val="single"/>
        </w:rPr>
        <w:t xml:space="preserve">                                                           </w:t>
      </w:r>
    </w:p>
    <w:p w14:paraId="57F8DC7A">
      <w:pPr>
        <w:spacing w:line="360" w:lineRule="exact"/>
        <w:rPr>
          <w:rFonts w:eastAsia="楷体_GB2312"/>
          <w:b/>
          <w:bCs/>
          <w:u w:val="single"/>
        </w:rPr>
      </w:pPr>
      <w:r>
        <w:rPr>
          <w:rFonts w:eastAsia="楷体_GB2312"/>
          <w:b/>
        </w:rPr>
        <w:t>借款人：</w:t>
      </w:r>
      <w:r>
        <w:rPr>
          <w:rFonts w:eastAsia="楷体_GB2312"/>
          <w:b/>
          <w:bCs/>
          <w:u w:val="single"/>
        </w:rPr>
        <w:t xml:space="preserve">                                                           </w:t>
      </w:r>
    </w:p>
    <w:p w14:paraId="012F13DC">
      <w:pPr>
        <w:spacing w:line="360" w:lineRule="exact"/>
        <w:ind w:firstLine="420" w:firstLineChars="200"/>
        <w:rPr>
          <w:rFonts w:eastAsia="楷体_GB2312"/>
        </w:rPr>
      </w:pPr>
    </w:p>
    <w:p w14:paraId="061982BE">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eastAsia="楷体_GB2312"/>
        </w:rPr>
      </w:pPr>
      <w:r>
        <w:rPr>
          <w:rFonts w:hint="eastAsia" w:ascii="仿宋_GB2312" w:hAnsi="仿宋_GB2312" w:eastAsia="仿宋_GB2312" w:cs="仿宋_GB2312"/>
        </w:rPr>
        <w:t>经贷款人、借款人协商一致，根据国家有关法律、法规和规章的规定，签订本合同。</w:t>
      </w:r>
    </w:p>
    <w:p w14:paraId="1BB95FC2">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ascii="仿宋_GB2312" w:hAnsi="仿宋_GB2312" w:eastAsia="仿宋_GB2312" w:cs="仿宋_GB2312"/>
        </w:rPr>
      </w:pPr>
      <w:r>
        <w:rPr>
          <w:rFonts w:ascii="黑体" w:eastAsia="黑体"/>
          <w:b/>
        </w:rPr>
        <w:t>第一条</w:t>
      </w:r>
      <w:r>
        <w:rPr>
          <w:rFonts w:hint="eastAsia" w:ascii="黑体" w:eastAsia="黑体"/>
          <w:b/>
        </w:rPr>
        <w:t xml:space="preserve">  借款金额、种类与用途：</w:t>
      </w:r>
      <w:r>
        <w:rPr>
          <w:rFonts w:hint="eastAsia" w:ascii="仿宋_GB2312" w:hAnsi="仿宋_GB2312" w:eastAsia="仿宋_GB2312" w:cs="仿宋_GB2312"/>
        </w:rPr>
        <w:t>贷款人同意向借款人发放贷款人民币（大写）</w:t>
      </w:r>
      <w:r>
        <w:rPr>
          <w:rFonts w:hint="eastAsia" w:ascii="仿宋_GB2312" w:hAnsi="仿宋_GB2312" w:eastAsia="仿宋_GB2312" w:cs="仿宋_GB2312"/>
          <w:u w:val="single"/>
        </w:rPr>
        <w:t xml:space="preserve">                         </w:t>
      </w:r>
      <w:r>
        <w:rPr>
          <w:rFonts w:hint="eastAsia" w:ascii="仿宋_GB2312" w:hAnsi="仿宋_GB2312" w:eastAsia="仿宋_GB2312" w:cs="仿宋_GB2312"/>
        </w:rPr>
        <w:t>。借款种类为</w:t>
      </w:r>
      <w:r>
        <w:rPr>
          <w:rFonts w:hint="eastAsia" w:ascii="仿宋_GB2312" w:hAnsi="仿宋_GB2312" w:eastAsia="仿宋_GB2312" w:cs="仿宋_GB2312"/>
          <w:u w:val="single"/>
        </w:rPr>
        <w:t xml:space="preserve">           </w:t>
      </w:r>
      <w:r>
        <w:rPr>
          <w:rFonts w:hint="eastAsia" w:ascii="仿宋_GB2312" w:hAnsi="仿宋_GB2312" w:eastAsia="仿宋_GB2312" w:cs="仿宋_GB2312"/>
        </w:rPr>
        <w:t>，借款用途为</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319B654F">
      <w:pPr>
        <w:keepNext w:val="0"/>
        <w:keepLines w:val="0"/>
        <w:pageBreakBefore w:val="0"/>
        <w:widowControl w:val="0"/>
        <w:kinsoku/>
        <w:wordWrap/>
        <w:overflowPunct/>
        <w:topLinePunct w:val="0"/>
        <w:autoSpaceDE/>
        <w:autoSpaceDN/>
        <w:bidi w:val="0"/>
        <w:snapToGrid/>
        <w:spacing w:line="324" w:lineRule="exact"/>
        <w:ind w:firstLine="413" w:firstLineChars="196"/>
        <w:textAlignment w:val="auto"/>
        <w:rPr>
          <w:rFonts w:ascii="仿宋_GB2312" w:hAnsi="仿宋_GB2312" w:eastAsia="仿宋_GB2312" w:cs="仿宋_GB2312"/>
        </w:rPr>
      </w:pPr>
      <w:r>
        <w:rPr>
          <w:rFonts w:ascii="黑体" w:eastAsia="黑体"/>
          <w:b/>
        </w:rPr>
        <w:t>第二条</w:t>
      </w:r>
      <w:r>
        <w:rPr>
          <w:rFonts w:hint="eastAsia" w:ascii="黑体" w:eastAsia="黑体"/>
          <w:b/>
        </w:rPr>
        <w:t xml:space="preserve">  </w:t>
      </w:r>
      <w:r>
        <w:rPr>
          <w:rFonts w:ascii="黑体" w:eastAsia="黑体"/>
          <w:b/>
        </w:rPr>
        <w:t>借款期限：</w:t>
      </w:r>
      <w:r>
        <w:rPr>
          <w:rFonts w:hint="eastAsia" w:ascii="仿宋_GB2312" w:hAnsi="仿宋_GB2312" w:eastAsia="仿宋_GB2312" w:cs="仿宋_GB2312"/>
        </w:rPr>
        <w:t>本合同借款期限自</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日起至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日止。实际放款日期、到期日期与上述约定不一致的，以借款借据为准。</w:t>
      </w:r>
    </w:p>
    <w:p w14:paraId="004FFC8F">
      <w:pPr>
        <w:keepNext w:val="0"/>
        <w:keepLines w:val="0"/>
        <w:pageBreakBefore w:val="0"/>
        <w:widowControl w:val="0"/>
        <w:tabs>
          <w:tab w:val="left" w:pos="343"/>
        </w:tabs>
        <w:kinsoku/>
        <w:wordWrap/>
        <w:overflowPunct/>
        <w:topLinePunct w:val="0"/>
        <w:autoSpaceDE/>
        <w:autoSpaceDN/>
        <w:bidi w:val="0"/>
        <w:snapToGrid/>
        <w:spacing w:line="324" w:lineRule="exact"/>
        <w:ind w:firstLine="422" w:firstLineChars="200"/>
        <w:textAlignment w:val="auto"/>
        <w:rPr>
          <w:rFonts w:ascii="黑体" w:eastAsia="黑体"/>
          <w:b/>
        </w:rPr>
      </w:pPr>
      <w:r>
        <w:rPr>
          <w:rFonts w:ascii="黑体" w:eastAsia="黑体"/>
          <w:b/>
        </w:rPr>
        <w:t>第三条</w:t>
      </w:r>
      <w:r>
        <w:rPr>
          <w:rFonts w:hint="eastAsia" w:ascii="黑体" w:eastAsia="黑体"/>
          <w:b/>
        </w:rPr>
        <w:t xml:space="preserve">  </w:t>
      </w:r>
      <w:r>
        <w:rPr>
          <w:rFonts w:ascii="黑体" w:eastAsia="黑体"/>
          <w:b/>
        </w:rPr>
        <w:t>借款利率：</w:t>
      </w:r>
    </w:p>
    <w:p w14:paraId="318A5B5C">
      <w:pPr>
        <w:keepNext w:val="0"/>
        <w:keepLines w:val="0"/>
        <w:pageBreakBefore w:val="0"/>
        <w:widowControl w:val="0"/>
        <w:tabs>
          <w:tab w:val="left" w:pos="343"/>
        </w:tabs>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一</w:t>
      </w:r>
      <w:r>
        <w:rPr>
          <w:rFonts w:hint="eastAsia" w:ascii="仿宋_GB2312" w:hAnsi="仿宋_GB2312" w:eastAsia="仿宋_GB2312" w:cs="仿宋_GB2312"/>
          <w:lang w:eastAsia="zh-CN"/>
        </w:rPr>
        <w:t>）</w:t>
      </w:r>
      <w:r>
        <w:rPr>
          <w:rFonts w:hint="eastAsia" w:ascii="仿宋_GB2312" w:hAnsi="仿宋_GB2312" w:eastAsia="仿宋_GB2312" w:cs="仿宋_GB2312"/>
        </w:rPr>
        <w:t>本合同借款利率采用单利方法计算，具体按下列第</w:t>
      </w:r>
      <w:r>
        <w:rPr>
          <w:rFonts w:hint="eastAsia" w:ascii="仿宋_GB2312" w:hAnsi="仿宋_GB2312" w:eastAsia="仿宋_GB2312" w:cs="仿宋_GB2312"/>
          <w:u w:val="single"/>
        </w:rPr>
        <w:t>（   ）</w:t>
      </w:r>
      <w:r>
        <w:rPr>
          <w:rFonts w:hint="eastAsia" w:ascii="仿宋_GB2312" w:hAnsi="仿宋_GB2312" w:eastAsia="仿宋_GB2312" w:cs="仿宋_GB2312"/>
        </w:rPr>
        <w:t>种方式确定。（涉及勾选项的，在选项前□打√）</w:t>
      </w:r>
    </w:p>
    <w:p w14:paraId="23DF977A">
      <w:pPr>
        <w:keepNext w:val="0"/>
        <w:keepLines w:val="0"/>
        <w:pageBreakBefore w:val="0"/>
        <w:widowControl w:val="0"/>
        <w:tabs>
          <w:tab w:val="left" w:pos="343"/>
        </w:tabs>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u w:val="single"/>
        </w:rPr>
      </w:pPr>
      <w:r>
        <w:rPr>
          <w:rFonts w:hint="eastAsia" w:ascii="仿宋_GB2312" w:hAnsi="仿宋_GB2312" w:eastAsia="仿宋_GB2312" w:cs="仿宋_GB2312"/>
        </w:rPr>
        <w:t>（1）本合同借款利率以</w:t>
      </w:r>
      <w:r>
        <w:rPr>
          <w:rFonts w:hint="eastAsia" w:ascii="黑体" w:hAnsi="黑体" w:eastAsia="黑体" w:cs="黑体"/>
          <w:b/>
          <w:bCs/>
        </w:rPr>
        <w:t>合同生效日</w:t>
      </w:r>
      <w:r>
        <w:rPr>
          <w:rFonts w:hint="eastAsia" w:ascii="仿宋_GB2312" w:hAnsi="仿宋_GB2312" w:eastAsia="仿宋_GB2312" w:cs="仿宋_GB2312"/>
        </w:rPr>
        <w:t>前一自然日已公布的最近一期□1年期□5年期以上□其他</w:t>
      </w:r>
    </w:p>
    <w:p w14:paraId="53C2E43F">
      <w:pPr>
        <w:keepNext w:val="0"/>
        <w:keepLines w:val="0"/>
        <w:pageBreakBefore w:val="0"/>
        <w:widowControl w:val="0"/>
        <w:tabs>
          <w:tab w:val="left" w:pos="343"/>
        </w:tabs>
        <w:kinsoku/>
        <w:wordWrap/>
        <w:overflowPunct/>
        <w:topLinePunct w:val="0"/>
        <w:autoSpaceDE/>
        <w:autoSpaceDN/>
        <w:bidi w:val="0"/>
        <w:snapToGrid/>
        <w:spacing w:line="324" w:lineRule="exact"/>
        <w:textAlignment w:val="auto"/>
        <w:rPr>
          <w:rFonts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LPR（□加</w:t>
      </w:r>
      <w:r>
        <w:rPr>
          <w:rFonts w:hint="eastAsia" w:ascii="仿宋_GB2312" w:hAnsi="仿宋_GB2312" w:eastAsia="仿宋_GB2312" w:cs="仿宋_GB2312"/>
          <w:lang w:eastAsia="zh-CN"/>
        </w:rPr>
        <w:t>☑</w:t>
      </w:r>
      <w:r>
        <w:rPr>
          <w:rFonts w:hint="eastAsia" w:ascii="仿宋_GB2312" w:hAnsi="仿宋_GB2312" w:eastAsia="仿宋_GB2312" w:cs="仿宋_GB2312"/>
        </w:rPr>
        <w:t>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个基点确定（LPR，即全国银行间同业拆借中心公布的贷款市场报价利率，1个基点=0.01%，下同），具体以借款借据为准。借款期限内，借款利率不作调整。</w:t>
      </w:r>
    </w:p>
    <w:p w14:paraId="76BB1A90">
      <w:pPr>
        <w:keepNext w:val="0"/>
        <w:keepLines w:val="0"/>
        <w:pageBreakBefore w:val="0"/>
        <w:widowControl w:val="0"/>
        <w:tabs>
          <w:tab w:val="left" w:pos="343"/>
        </w:tabs>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（2）本合同项下每笔借款的利率以□</w:t>
      </w:r>
      <w:r>
        <w:rPr>
          <w:rFonts w:hint="eastAsia" w:ascii="黑体" w:hAnsi="黑体" w:eastAsia="黑体" w:cs="黑体"/>
          <w:b/>
          <w:bCs/>
        </w:rPr>
        <w:t>合同生效日</w:t>
      </w:r>
      <w:r>
        <w:rPr>
          <w:rFonts w:hint="eastAsia" w:ascii="仿宋_GB2312" w:hAnsi="仿宋_GB2312" w:eastAsia="仿宋_GB2312" w:cs="仿宋_GB2312"/>
        </w:rPr>
        <w:t>□</w:t>
      </w:r>
      <w:r>
        <w:rPr>
          <w:rFonts w:hint="eastAsia" w:ascii="黑体" w:hAnsi="黑体" w:eastAsia="黑体" w:cs="黑体"/>
          <w:b/>
          <w:bCs/>
        </w:rPr>
        <w:t>借款发放日</w:t>
      </w:r>
      <w:r>
        <w:rPr>
          <w:rFonts w:hint="eastAsia" w:ascii="仿宋_GB2312" w:hAnsi="仿宋_GB2312" w:eastAsia="仿宋_GB2312" w:cs="仿宋_GB2312"/>
        </w:rPr>
        <w:t>前一自然日已公布的最近一期□1年期□5年期以上□其他</w:t>
      </w:r>
      <w:r>
        <w:rPr>
          <w:rFonts w:hint="eastAsia" w:ascii="仿宋_GB2312" w:hAnsi="仿宋_GB2312" w:eastAsia="仿宋_GB2312" w:cs="仿宋_GB2312"/>
          <w:u w:val="single"/>
        </w:rPr>
        <w:t xml:space="preserve">      </w:t>
      </w:r>
      <w:r>
        <w:rPr>
          <w:rFonts w:hint="eastAsia" w:ascii="仿宋_GB2312" w:hAnsi="仿宋_GB2312" w:eastAsia="仿宋_GB2312" w:cs="仿宋_GB2312"/>
        </w:rPr>
        <w:t>LPR（□加□减）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个基点确定，具体以借款借据为准。借款期限内，每笔借款的利率按以下第</w:t>
      </w:r>
      <w:r>
        <w:rPr>
          <w:rFonts w:hint="eastAsia" w:ascii="仿宋_GB2312" w:hAnsi="仿宋_GB2312" w:eastAsia="仿宋_GB2312" w:cs="仿宋_GB2312"/>
          <w:u w:val="single"/>
        </w:rPr>
        <w:t xml:space="preserve">     </w:t>
      </w:r>
      <w:r>
        <w:rPr>
          <w:rFonts w:hint="eastAsia" w:ascii="仿宋_GB2312" w:hAnsi="仿宋_GB2312" w:eastAsia="仿宋_GB2312" w:cs="仿宋_GB2312"/>
        </w:rPr>
        <w:t>种方式作相应调整</w:t>
      </w:r>
      <w:r>
        <w:rPr>
          <w:rFonts w:ascii="仿宋_GB2312" w:hAnsi="仿宋_GB2312" w:eastAsia="仿宋_GB2312" w:cs="仿宋_GB2312"/>
        </w:rPr>
        <w:t>,</w:t>
      </w:r>
      <w:r>
        <w:rPr>
          <w:rFonts w:hint="eastAsia" w:ascii="仿宋_GB2312" w:hAnsi="仿宋_GB2312" w:eastAsia="仿宋_GB2312" w:cs="仿宋_GB2312"/>
        </w:rPr>
        <w:t>且贷款人不再另行通知借款人：</w:t>
      </w:r>
    </w:p>
    <w:p w14:paraId="02F70E63">
      <w:pPr>
        <w:keepNext w:val="0"/>
        <w:keepLines w:val="0"/>
        <w:pageBreakBefore w:val="0"/>
        <w:widowControl w:val="0"/>
        <w:tabs>
          <w:tab w:val="left" w:pos="343"/>
        </w:tabs>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①单笔借款的借款利率不作调整，不分段计息。</w:t>
      </w:r>
    </w:p>
    <w:p w14:paraId="5AEF9A0B">
      <w:pPr>
        <w:keepNext w:val="0"/>
        <w:keepLines w:val="0"/>
        <w:pageBreakBefore w:val="0"/>
        <w:widowControl w:val="0"/>
        <w:tabs>
          <w:tab w:val="left" w:pos="343"/>
        </w:tabs>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②以</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个月）为利率重定价周期，调整日为借款发放日在调整当月的对应日，调整当月没有对应日的，则以当月最后一日为调整日，调整日起以前一自然日已公布的最近一期本条第（2）款选定的期限品种的LPR为新的定价基准，加（减）基点不变。</w:t>
      </w:r>
    </w:p>
    <w:p w14:paraId="34F58D0A">
      <w:pPr>
        <w:keepNext w:val="0"/>
        <w:keepLines w:val="0"/>
        <w:pageBreakBefore w:val="0"/>
        <w:widowControl w:val="0"/>
        <w:tabs>
          <w:tab w:val="left" w:pos="343"/>
        </w:tabs>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（3）其他：</w:t>
      </w: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                  </w:t>
      </w:r>
      <w:r>
        <w:rPr>
          <w:rFonts w:hint="eastAsia" w:ascii="仿宋_GB2312" w:hAnsi="仿宋_GB2312" w:eastAsia="仿宋_GB2312" w:cs="仿宋_GB2312"/>
          <w:u w:val="single"/>
        </w:rPr>
        <w:t xml:space="preserve">                                                </w:t>
      </w:r>
    </w:p>
    <w:p w14:paraId="4B307879">
      <w:pPr>
        <w:pStyle w:val="10"/>
        <w:keepNext w:val="0"/>
        <w:keepLines w:val="0"/>
        <w:pageBreakBefore w:val="0"/>
        <w:widowControl w:val="0"/>
        <w:kinsoku/>
        <w:wordWrap/>
        <w:overflowPunct/>
        <w:topLinePunct w:val="0"/>
        <w:autoSpaceDE/>
        <w:autoSpaceDN/>
        <w:bidi w:val="0"/>
        <w:snapToGrid/>
        <w:spacing w:afterLines="0" w:line="324" w:lineRule="exact"/>
        <w:textAlignment w:val="auto"/>
        <w:rPr>
          <w:rFonts w:ascii="仿宋_GB2312" w:hAnsi="仿宋_GB2312" w:eastAsia="仿宋_GB2312" w:cs="仿宋_GB2312"/>
        </w:rPr>
      </w:pP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                    </w:t>
      </w:r>
      <w:r>
        <w:rPr>
          <w:rFonts w:hint="eastAsia" w:ascii="仿宋_GB2312" w:hAnsi="仿宋_GB2312" w:eastAsia="仿宋_GB2312" w:cs="仿宋_GB2312"/>
        </w:rPr>
        <w:t>。</w:t>
      </w:r>
    </w:p>
    <w:p w14:paraId="1D8A8A82">
      <w:pPr>
        <w:pStyle w:val="10"/>
        <w:keepNext w:val="0"/>
        <w:keepLines w:val="0"/>
        <w:pageBreakBefore w:val="0"/>
        <w:widowControl w:val="0"/>
        <w:kinsoku/>
        <w:wordWrap/>
        <w:overflowPunct/>
        <w:topLinePunct w:val="0"/>
        <w:autoSpaceDE/>
        <w:autoSpaceDN/>
        <w:bidi w:val="0"/>
        <w:snapToGrid/>
        <w:spacing w:afterLines="0" w:line="324" w:lineRule="exact"/>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本合同项下借款按实际天数计息，借款利率的计算公式为：月利率=年利率÷12；日利率=年利率÷360。</w:t>
      </w:r>
    </w:p>
    <w:p w14:paraId="4B971670">
      <w:pPr>
        <w:keepNext w:val="0"/>
        <w:keepLines w:val="0"/>
        <w:pageBreakBefore w:val="0"/>
        <w:widowControl w:val="0"/>
        <w:numPr>
          <w:ilvl w:val="0"/>
          <w:numId w:val="0"/>
        </w:numPr>
        <w:kinsoku/>
        <w:wordWrap/>
        <w:overflowPunct/>
        <w:topLinePunct w:val="0"/>
        <w:autoSpaceDE/>
        <w:autoSpaceDN/>
        <w:bidi w:val="0"/>
        <w:snapToGrid/>
        <w:spacing w:line="324" w:lineRule="exact"/>
        <w:ind w:firstLine="422" w:firstLineChars="200"/>
        <w:textAlignment w:val="auto"/>
        <w:rPr>
          <w:rFonts w:hint="eastAsia" w:ascii="黑体" w:hAnsi="黑体" w:eastAsia="黑体" w:cs="黑体"/>
          <w:b/>
          <w:bCs/>
          <w:i w:val="0"/>
          <w:strike w:val="0"/>
          <w:color w:val="auto"/>
          <w:sz w:val="21"/>
          <w:szCs w:val="21"/>
          <w:u w:val="none"/>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借款人知悉并同意</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合同有效期内，若利率相关的法律法规及相关规定调整，或贷款定价自律约定、LPR</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贷款市场报价利率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等发生调整，导致合同约定的贷款利率水平</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含固定利率、浮动利率等情形</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低于利率政策或自律约定最新允许范围下限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，则本合同项下的贷款利率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包括新支用贷款在支用时点的利率和支用后贷款随LPR调整后的利率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均按不低于最新允许范围下限利率执行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以下称“执行利率”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。具体执行利率和执行利率的生效时间以贷款人的通知为准。</w:t>
      </w:r>
    </w:p>
    <w:p w14:paraId="3D149055">
      <w:pPr>
        <w:keepNext w:val="0"/>
        <w:keepLines w:val="0"/>
        <w:pageBreakBefore w:val="0"/>
        <w:widowControl w:val="0"/>
        <w:numPr>
          <w:ilvl w:val="0"/>
          <w:numId w:val="0"/>
        </w:numPr>
        <w:kinsoku/>
        <w:wordWrap/>
        <w:overflowPunct/>
        <w:topLinePunct w:val="0"/>
        <w:autoSpaceDE/>
        <w:autoSpaceDN/>
        <w:bidi w:val="0"/>
        <w:snapToGrid/>
        <w:spacing w:line="324" w:lineRule="exact"/>
        <w:ind w:firstLine="422" w:firstLineChars="200"/>
        <w:jc w:val="both"/>
        <w:textAlignment w:val="auto"/>
        <w:rPr>
          <w:rFonts w:hint="eastAsia" w:ascii="黑体" w:hAnsi="黑体" w:eastAsia="黑体" w:cs="黑体"/>
          <w:b/>
          <w:bCs/>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三</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借款人若不接受上述贷款利率调整，则有权在收到贷款人通知后 10 个工作日内以书面形式告知贷款人提前终止本合同，并结清贷款业务。</w:t>
      </w:r>
      <w:r>
        <w:rPr>
          <w:rFonts w:hint="eastAsia" w:ascii="黑体" w:hAnsi="黑体" w:eastAsia="黑体" w:cs="黑体"/>
          <w:b/>
          <w:bCs/>
          <w:spacing w:val="0"/>
          <w:w w:val="100"/>
          <w:sz w:val="21"/>
          <w:szCs w:val="21"/>
          <w:lang w:val="en-US" w:eastAsia="zh-CN"/>
        </w:rPr>
        <w:t>本合同自贷款人收到借款人的通知之日起提前终止，</w:t>
      </w:r>
      <w:r>
        <w:rPr>
          <w:rFonts w:hint="eastAsia" w:ascii="黑体" w:hAnsi="黑体" w:eastAsia="黑体" w:cs="黑体"/>
          <w:b/>
          <w:bCs/>
        </w:rPr>
        <w:t>本合同提前终止并不免除借款人在本合同项下的本息及费用等清偿义务及责任</w:t>
      </w:r>
      <w:r>
        <w:rPr>
          <w:rFonts w:hint="eastAsia" w:ascii="黑体" w:hAnsi="黑体" w:eastAsia="黑体" w:cs="黑体"/>
          <w:b/>
          <w:bCs/>
          <w:lang w:eastAsia="zh-CN"/>
        </w:rPr>
        <w:t>，</w:t>
      </w:r>
      <w:r>
        <w:rPr>
          <w:rFonts w:hint="eastAsia" w:ascii="黑体" w:hAnsi="黑体" w:eastAsia="黑体" w:cs="黑体"/>
          <w:b/>
          <w:bCs/>
          <w:i w:val="0"/>
          <w:strike w:val="0"/>
          <w:color w:val="auto"/>
          <w:sz w:val="21"/>
          <w:szCs w:val="21"/>
          <w:u w:val="none"/>
        </w:rPr>
        <w:t>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提前还款后尚未归还的借款仍按照上述第</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rPr>
        <w:t>款约定执行。</w:t>
      </w:r>
    </w:p>
    <w:p w14:paraId="66F05AD1">
      <w:pPr>
        <w:keepNext w:val="0"/>
        <w:keepLines w:val="0"/>
        <w:pageBreakBefore w:val="0"/>
        <w:widowControl w:val="0"/>
        <w:kinsoku/>
        <w:wordWrap/>
        <w:overflowPunct/>
        <w:topLinePunct w:val="0"/>
        <w:autoSpaceDE/>
        <w:autoSpaceDN/>
        <w:bidi w:val="0"/>
        <w:snapToGrid/>
        <w:spacing w:line="324" w:lineRule="exact"/>
        <w:ind w:firstLine="420"/>
        <w:textAlignment w:val="auto"/>
        <w:rPr>
          <w:rFonts w:eastAsia="楷体_GB2312"/>
        </w:rPr>
      </w:pPr>
      <w:r>
        <w:rPr>
          <w:rFonts w:hint="eastAsia" w:ascii="黑体" w:eastAsia="黑体"/>
          <w:b/>
        </w:rPr>
        <w:t xml:space="preserve">第四条  </w:t>
      </w:r>
      <w:r>
        <w:rPr>
          <w:rFonts w:hint="eastAsia" w:eastAsia="黑体"/>
          <w:b/>
          <w:bCs/>
        </w:rPr>
        <w:t>借款发放与支付：</w:t>
      </w:r>
    </w:p>
    <w:p w14:paraId="2DD8E99B">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担保持续有效，保证人的保证能力和物的担保能力或价值没有发生对贷款人不利的变化；5.借款人已按贷款人要求开立有关账户；6.贷款人要求的其他条件：</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7586A570">
      <w:pPr>
        <w:pStyle w:val="10"/>
        <w:keepNext w:val="0"/>
        <w:keepLines w:val="0"/>
        <w:pageBreakBefore w:val="0"/>
        <w:widowControl w:val="0"/>
        <w:kinsoku/>
        <w:wordWrap/>
        <w:overflowPunct/>
        <w:topLinePunct w:val="0"/>
        <w:autoSpaceDE/>
        <w:autoSpaceDN/>
        <w:bidi w:val="0"/>
        <w:snapToGrid/>
        <w:spacing w:afterLines="0" w:line="324" w:lineRule="exact"/>
        <w:ind w:firstLine="422" w:firstLineChars="200"/>
        <w:textAlignment w:val="auto"/>
        <w:rPr>
          <w:rFonts w:ascii="黑体" w:hAnsi="黑体" w:eastAsia="黑体" w:cs="黑体"/>
          <w:b/>
          <w:bCs/>
        </w:rPr>
      </w:pPr>
      <w:r>
        <w:rPr>
          <w:rFonts w:hint="eastAsia" w:ascii="黑体" w:hAnsi="黑体" w:eastAsia="黑体" w:cs="黑体"/>
          <w:b/>
          <w:bCs/>
        </w:rPr>
        <w:t>借款人理解并接受贷款人因受国家政策、宏观调控、监管要求等影响暂停借款人的提款请求。</w:t>
      </w:r>
    </w:p>
    <w:p w14:paraId="4985BA7D">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b/>
          <w:i/>
        </w:rPr>
      </w:pPr>
      <w:r>
        <w:rPr>
          <w:rFonts w:hint="eastAsia" w:ascii="仿宋_GB2312" w:hAnsi="仿宋_GB2312" w:eastAsia="仿宋_GB2312" w:cs="仿宋_GB2312"/>
        </w:rPr>
        <w:t>（二）借款发放。借款人在用款前向贷款人申请提款，贷款人审核后认为符合本合同约定的提款条件的，将贷款资金划至约定的借款人账户。</w:t>
      </w:r>
    </w:p>
    <w:p w14:paraId="2A50308B">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（三）借款支付。1.受托支付。贷款资金单笔支付金额超过</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万元人民币（大写），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仿宋_GB2312" w:eastAsia="仿宋_GB2312" w:cs="仿宋_GB2312"/>
          <w:u w:val="single"/>
        </w:rPr>
        <w:t xml:space="preserve">    </w:t>
      </w:r>
      <w:r>
        <w:rPr>
          <w:rFonts w:hint="eastAsia" w:ascii="仿宋_GB2312" w:hAnsi="仿宋_GB2312" w:eastAsia="仿宋_GB2312" w:cs="仿宋_GB2312"/>
        </w:rPr>
        <w:t>天内向贷款人提供与贷款资金支付相关的交易资料，并汇总报告贷款资金支付情况。贷款人有权通过账户分析、凭证查验、现场调查等方式核查贷款支付是否符合约定用途。3.在本合同借款支付过程中，借款人出现信用状况下降、经营及财务状况明显趋差、贷款资金使用出现异常或规避受托支付、其他重大违反合同约定的行为等情形的，借款人应与贷款人协商补充借款发放和支付条件，或贷款人有权变更支付方式、停止贷款资金的发放和支付。</w:t>
      </w:r>
    </w:p>
    <w:p w14:paraId="616303E2">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ascii="仿宋_GB2312" w:hAnsi="仿宋_GB2312" w:eastAsia="仿宋_GB2312" w:cs="仿宋_GB2312"/>
        </w:rPr>
      </w:pPr>
      <w:r>
        <w:rPr>
          <w:rFonts w:ascii="黑体" w:eastAsia="黑体"/>
          <w:b/>
        </w:rPr>
        <w:t>第</w:t>
      </w:r>
      <w:r>
        <w:rPr>
          <w:rFonts w:hint="eastAsia" w:ascii="黑体" w:eastAsia="黑体"/>
          <w:b/>
        </w:rPr>
        <w:t>五</w:t>
      </w:r>
      <w:r>
        <w:rPr>
          <w:rFonts w:ascii="黑体" w:eastAsia="黑体"/>
          <w:b/>
        </w:rPr>
        <w:t>条</w:t>
      </w:r>
      <w:r>
        <w:rPr>
          <w:rFonts w:hint="eastAsia" w:ascii="黑体" w:eastAsia="黑体"/>
          <w:b/>
        </w:rPr>
        <w:t xml:space="preserve">  </w:t>
      </w:r>
      <w:r>
        <w:rPr>
          <w:rFonts w:ascii="黑体" w:eastAsia="黑体"/>
          <w:b/>
        </w:rPr>
        <w:t>还款方式：</w:t>
      </w:r>
      <w:r>
        <w:rPr>
          <w:rFonts w:hint="eastAsia" w:ascii="仿宋_GB2312" w:hAnsi="仿宋_GB2312" w:eastAsia="仿宋_GB2312" w:cs="仿宋_GB2312"/>
        </w:rPr>
        <w:t>本合同项下贷款采用以下第     种方式还款。但如借款借据或网上银行等电子银行产生的电子数据及凭证特别约定了当笔借款还款方式的，则当笔借款的还款方式依此约定；</w:t>
      </w:r>
    </w:p>
    <w:p w14:paraId="2E98E891">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1.按</w:t>
      </w:r>
      <w:r>
        <w:rPr>
          <w:rFonts w:ascii="仿宋_GB2312" w:hAnsi="仿宋_GB2312" w:eastAsia="仿宋_GB2312" w:cs="仿宋_GB2312"/>
          <w:u w:val="single"/>
        </w:rPr>
        <w:t xml:space="preserve">      </w:t>
      </w:r>
      <w:r>
        <w:rPr>
          <w:rFonts w:hint="eastAsia" w:ascii="仿宋_GB2312" w:hAnsi="仿宋_GB2312" w:eastAsia="仿宋_GB2312" w:cs="仿宋_GB2312"/>
        </w:rPr>
        <w:t>（月、季或年）付息，每</w:t>
      </w:r>
      <w:r>
        <w:rPr>
          <w:rFonts w:ascii="仿宋_GB2312" w:hAnsi="仿宋_GB2312" w:eastAsia="仿宋_GB2312" w:cs="仿宋_GB2312"/>
          <w:u w:val="single"/>
        </w:rPr>
        <w:t xml:space="preserve">       </w:t>
      </w:r>
      <w:r>
        <w:rPr>
          <w:rFonts w:hint="eastAsia" w:ascii="仿宋_GB2312" w:hAnsi="仿宋_GB2312" w:eastAsia="仿宋_GB2312" w:cs="仿宋_GB2312"/>
        </w:rPr>
        <w:t>（月、季末月或年末月）的20日为结息日，次日为付息日，逾期付息视为违约。本金至借款期限届满时一次性归还，利随本清；</w:t>
      </w:r>
    </w:p>
    <w:p w14:paraId="3B1ED8FE">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2.前</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（月、季或年）只归还利息，不归还本金。至</w:t>
      </w:r>
      <w:r>
        <w:rPr>
          <w:rFonts w:ascii="仿宋_GB2312" w:hAnsi="仿宋_GB2312" w:eastAsia="仿宋_GB2312" w:cs="仿宋_GB2312"/>
          <w:u w:val="single"/>
        </w:rPr>
        <w:t xml:space="preserve">          </w:t>
      </w:r>
      <w:r>
        <w:rPr>
          <w:rFonts w:hint="eastAsia" w:ascii="仿宋_GB2312" w:hAnsi="仿宋_GB2312" w:eastAsia="仿宋_GB2312" w:cs="仿宋_GB2312"/>
        </w:rPr>
        <w:t>年</w:t>
      </w:r>
      <w:r>
        <w:rPr>
          <w:rFonts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日起采取</w:t>
      </w:r>
      <w:r>
        <w:rPr>
          <w:rFonts w:ascii="仿宋_GB2312" w:hAnsi="仿宋_GB2312" w:eastAsia="仿宋_GB2312" w:cs="仿宋_GB2312"/>
          <w:u w:val="single"/>
        </w:rPr>
        <w:t xml:space="preserve">           </w:t>
      </w:r>
      <w:r>
        <w:rPr>
          <w:rFonts w:hint="eastAsia" w:ascii="仿宋_GB2312" w:hAnsi="仿宋_GB2312" w:eastAsia="仿宋_GB2312" w:cs="仿宋_GB2312"/>
        </w:rPr>
        <w:t>（等额本息或等额本金）还款方式，首次还款日为</w:t>
      </w:r>
      <w:r>
        <w:rPr>
          <w:rFonts w:ascii="仿宋_GB2312" w:hAnsi="仿宋_GB2312" w:eastAsia="仿宋_GB2312" w:cs="仿宋_GB2312"/>
          <w:u w:val="single"/>
        </w:rPr>
        <w:t xml:space="preserve">        </w:t>
      </w:r>
      <w:r>
        <w:rPr>
          <w:rFonts w:hint="eastAsia" w:ascii="仿宋_GB2312" w:hAnsi="仿宋_GB2312" w:eastAsia="仿宋_GB2312" w:cs="仿宋_GB2312"/>
        </w:rPr>
        <w:t>年</w:t>
      </w:r>
      <w:r>
        <w:rPr>
          <w:rFonts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日，此后按</w:t>
      </w:r>
      <w:r>
        <w:rPr>
          <w:rFonts w:ascii="仿宋_GB2312" w:hAnsi="仿宋_GB2312" w:eastAsia="仿宋_GB2312" w:cs="仿宋_GB2312"/>
          <w:u w:val="single"/>
        </w:rPr>
        <w:t xml:space="preserve">      </w:t>
      </w:r>
      <w:r>
        <w:rPr>
          <w:rFonts w:hint="eastAsia" w:ascii="仿宋_GB2312" w:hAnsi="仿宋_GB2312" w:eastAsia="仿宋_GB2312" w:cs="仿宋_GB2312"/>
        </w:rPr>
        <w:t>（月、季或年）还款，每</w:t>
      </w:r>
      <w:r>
        <w:rPr>
          <w:rFonts w:ascii="仿宋_GB2312" w:hAnsi="仿宋_GB2312" w:eastAsia="仿宋_GB2312" w:cs="仿宋_GB2312"/>
          <w:u w:val="single"/>
        </w:rPr>
        <w:t xml:space="preserve">       </w:t>
      </w:r>
      <w:r>
        <w:rPr>
          <w:rFonts w:hint="eastAsia" w:ascii="仿宋_GB2312" w:hAnsi="仿宋_GB2312" w:eastAsia="仿宋_GB2312" w:cs="仿宋_GB2312"/>
        </w:rPr>
        <w:t>（月、季末月或年末月）的20日为还款日。</w:t>
      </w:r>
    </w:p>
    <w:p w14:paraId="29776BB4">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3.其他方式：</w:t>
      </w:r>
      <w:r>
        <w:rPr>
          <w:rFonts w:ascii="仿宋_GB2312" w:hAnsi="仿宋_GB2312" w:eastAsia="仿宋_GB2312" w:cs="仿宋_GB2312"/>
          <w:u w:val="single"/>
        </w:rPr>
        <w:t xml:space="preserve">                                                                     </w:t>
      </w:r>
      <w:r>
        <w:rPr>
          <w:rFonts w:hint="eastAsia" w:ascii="仿宋_GB2312" w:hAnsi="仿宋_GB2312" w:eastAsia="仿宋_GB2312" w:cs="仿宋_GB2312"/>
        </w:rPr>
        <w:t>。</w:t>
      </w:r>
    </w:p>
    <w:p w14:paraId="656BB3A7">
      <w:pPr>
        <w:pStyle w:val="10"/>
        <w:keepNext w:val="0"/>
        <w:keepLines w:val="0"/>
        <w:pageBreakBefore w:val="0"/>
        <w:widowControl w:val="0"/>
        <w:kinsoku/>
        <w:wordWrap/>
        <w:overflowPunct/>
        <w:topLinePunct w:val="0"/>
        <w:autoSpaceDE/>
        <w:autoSpaceDN/>
        <w:bidi w:val="0"/>
        <w:snapToGrid/>
        <w:spacing w:afterLines="0" w:line="324" w:lineRule="exact"/>
        <w:ind w:firstLine="422" w:firstLineChars="200"/>
        <w:textAlignment w:val="auto"/>
        <w:rPr>
          <w:rFonts w:ascii="仿宋_GB2312" w:hAnsi="仿宋_GB2312" w:eastAsia="仿宋_GB2312" w:cs="仿宋_GB2312"/>
          <w:b/>
          <w:bCs/>
        </w:rPr>
      </w:pPr>
      <w:r>
        <w:rPr>
          <w:rFonts w:eastAsia="黑体"/>
          <w:b/>
          <w:bCs/>
        </w:rPr>
        <w:t>第</w:t>
      </w:r>
      <w:r>
        <w:rPr>
          <w:rFonts w:hint="eastAsia" w:eastAsia="黑体"/>
          <w:b/>
          <w:bCs/>
        </w:rPr>
        <w:t>六</w:t>
      </w:r>
      <w:r>
        <w:rPr>
          <w:rFonts w:eastAsia="黑体"/>
          <w:b/>
          <w:bCs/>
        </w:rPr>
        <w:t>条</w:t>
      </w:r>
      <w:r>
        <w:rPr>
          <w:rFonts w:hint="eastAsia" w:eastAsia="黑体"/>
          <w:b/>
          <w:bCs/>
        </w:rPr>
        <w:t xml:space="preserve">  借款人承诺：</w:t>
      </w:r>
      <w:r>
        <w:rPr>
          <w:rFonts w:hint="eastAsia" w:ascii="仿宋_GB2312" w:hAnsi="仿宋_GB2312" w:eastAsia="仿宋_GB2312" w:cs="仿宋_GB2312"/>
          <w:bCs/>
        </w:rPr>
        <w:t>（</w:t>
      </w:r>
      <w:r>
        <w:rPr>
          <w:rFonts w:hint="eastAsia" w:ascii="仿宋_GB2312" w:hAnsi="仿宋_GB2312" w:eastAsia="仿宋_GB2312" w:cs="仿宋_GB2312"/>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保证人部分或全部丧失担保能力，如出现停业、歇业、破产、解散、被吊销营业执照、被撤销、被合并（兼并或收购）或严重经营亏损等情形的，有义务及时告知贷款人并根据贷款人要求及时提供令贷款人认可的担保；（六）借款人与其关联方达成的所有交易都将本着诚信、公平且不直接或间接损害贷款人本合同项下利益的原则进行；</w:t>
      </w:r>
      <w:r>
        <w:rPr>
          <w:rFonts w:hint="eastAsia" w:ascii="黑体" w:hAnsi="黑体" w:eastAsia="黑体" w:cs="黑体"/>
          <w:b/>
          <w:bCs/>
        </w:rPr>
        <w:t>（七）借款人在贷款人处有多笔债务的，贷款人可自主决定各笔债务清偿顺序</w:t>
      </w:r>
      <w:r>
        <w:rPr>
          <w:rFonts w:hint="eastAsia" w:ascii="黑体" w:hAnsi="黑体" w:eastAsia="黑体" w:cs="黑体"/>
        </w:rPr>
        <w:t>；</w:t>
      </w:r>
      <w:r>
        <w:rPr>
          <w:rFonts w:hint="eastAsia" w:ascii="仿宋_GB2312" w:hAnsi="仿宋_GB2312" w:eastAsia="仿宋_GB2312" w:cs="仿宋_GB2312"/>
        </w:rPr>
        <w:t>（八）发生影响偿债能力的重大不利事项时及时通知贷款人；（九）进行合并、分立、股权转让，以及进行可能影响其偿债能力的对外投资、对外提供担保、实质性增加债务融资等重大事项前征得贷款人书面同意。</w:t>
      </w:r>
    </w:p>
    <w:p w14:paraId="6FD7F0A5">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ascii="仿宋_GB2312" w:hAnsi="仿宋_GB2312" w:eastAsia="仿宋_GB2312" w:cs="仿宋_GB2312"/>
        </w:rPr>
      </w:pPr>
      <w:r>
        <w:rPr>
          <w:rFonts w:ascii="黑体" w:eastAsia="黑体"/>
          <w:b/>
        </w:rPr>
        <w:t>第</w:t>
      </w:r>
      <w:r>
        <w:rPr>
          <w:rFonts w:hint="eastAsia" w:ascii="黑体" w:eastAsia="黑体"/>
          <w:b/>
        </w:rPr>
        <w:t>七</w:t>
      </w:r>
      <w:r>
        <w:rPr>
          <w:rFonts w:ascii="黑体" w:eastAsia="黑体"/>
          <w:b/>
        </w:rPr>
        <w:t>条</w:t>
      </w:r>
      <w:r>
        <w:rPr>
          <w:rFonts w:hint="eastAsia" w:ascii="黑体" w:eastAsia="黑体"/>
          <w:b/>
        </w:rPr>
        <w:t xml:space="preserve">  </w:t>
      </w:r>
      <w:r>
        <w:rPr>
          <w:rFonts w:ascii="黑体" w:eastAsia="黑体"/>
          <w:b/>
        </w:rPr>
        <w:t>贷款展期：</w:t>
      </w:r>
      <w:r>
        <w:rPr>
          <w:rFonts w:hint="eastAsia" w:ascii="仿宋_GB2312" w:hAnsi="仿宋_GB2312" w:eastAsia="仿宋_GB2312" w:cs="仿宋_GB2312"/>
        </w:rPr>
        <w:t>借款人若需延长借款期限，应在借款到期日前以书面方式向贷款人提出申请。经贷款人、担保人同意后，由贷款人，借款人、担保人另行签订贷款展期还款协议。贷款展期后，贷款的展期期限加上原期限达到新的利率期限档次时，其利率按累计期限的现行利率档次确定。</w:t>
      </w:r>
    </w:p>
    <w:p w14:paraId="4A37E81F">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ascii="仿宋_GB2312" w:hAnsi="仿宋_GB2312" w:eastAsia="仿宋_GB2312" w:cs="仿宋_GB2312"/>
        </w:rPr>
      </w:pPr>
      <w:r>
        <w:rPr>
          <w:rFonts w:hint="eastAsia" w:ascii="黑体" w:hAnsi="黑体" w:eastAsia="黑体" w:cs="黑体"/>
          <w:b/>
        </w:rPr>
        <w:t>第八条  发生下列情形之一即构成违约或风险事件：</w:t>
      </w:r>
      <w:r>
        <w:rPr>
          <w:rFonts w:hint="eastAsia" w:ascii="仿宋_GB2312" w:hAnsi="仿宋_GB2312" w:eastAsia="仿宋_GB2312" w:cs="仿宋_GB2312"/>
        </w:rPr>
        <w:t>（一）未按期偿还贷款本金或未按期支付利息或不按借款借据特别约定的还款方式归还贷款本息的；（二）不按约定的贷款用途使用贷款的；（三)未按约定方式进行贷款资金支付；（四）不遵守本合同承诺事项；（五）未按期向贷款人清偿其他到期债务；（六）未按期清偿其他任何金融机构或第三人到期债务的；（七）财产遭受哄抢等事件的；（八）卷入重大不利诉讼的；（九）被行政机关处以重大行政处罚的；（十）</w:t>
      </w:r>
      <w:r>
        <w:rPr>
          <w:rFonts w:hint="eastAsia" w:ascii="仿宋_GB2312" w:hAnsi="仿宋_GB2312" w:eastAsia="仿宋_GB2312" w:cs="仿宋_GB2312"/>
          <w:bCs/>
        </w:rPr>
        <w:t>因经营不善而</w:t>
      </w:r>
      <w:r>
        <w:rPr>
          <w:rFonts w:hint="eastAsia" w:ascii="仿宋_GB2312" w:hAnsi="仿宋_GB2312" w:eastAsia="仿宋_GB2312" w:cs="仿宋_GB2312"/>
        </w:rPr>
        <w:t>停产歇业的；（十一）隐瞒企业财务状况、经营状况或抽逃资金（本）的；（十二）未征得贷款人书面同意而实行承包、委托经营、托管、租赁、合资、兼并、合并、分立、转赠、股份制改造或减少注册资本等的；（十三）变更企业名称、法定代表人、股东、住所地或经营范围等工商登记事项，未在变更日一个月前书面告知贷款人的；（十四）发生偷（逃）税、破产、解散、被责令停业整顿或被吊销（撤销）营业执照的；（十五）保证人死亡、失踪或丧失民事行为能力，且借款人无法追加适格担保的；（十六）发生其他严重影响偿还债务能力或失去信用情形的。</w:t>
      </w:r>
    </w:p>
    <w:p w14:paraId="5DD0C29B">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bCs/>
        </w:rPr>
      </w:pPr>
      <w:r>
        <w:rPr>
          <w:rFonts w:hint="eastAsia" w:ascii="仿宋_GB2312" w:hAnsi="仿宋_GB2312" w:eastAsia="仿宋_GB2312" w:cs="仿宋_GB2312"/>
          <w:bCs/>
        </w:rPr>
        <w:t>在本合同有效期内，借款人发生上述第（一）（二）（五）（八）（十）（十二）（十三）（十四）（十六）违约情形或风险事件时，贷款人有权采取以下任何一项或多项措施，包括但不限于：</w:t>
      </w:r>
      <w:r>
        <w:rPr>
          <w:rFonts w:hint="eastAsia" w:ascii="黑体" w:hAnsi="黑体" w:eastAsia="黑体" w:cs="黑体"/>
        </w:rPr>
        <w:t>1.</w:t>
      </w:r>
      <w:r>
        <w:rPr>
          <w:rFonts w:hint="eastAsia" w:ascii="黑体" w:hAnsi="黑体" w:eastAsia="黑体" w:cs="黑体"/>
          <w:b/>
          <w:bCs/>
        </w:rPr>
        <w:t>按规定计收罚息和复息；</w:t>
      </w:r>
      <w:r>
        <w:rPr>
          <w:rFonts w:ascii="黑体" w:hAnsi="黑体" w:eastAsia="黑体" w:cs="黑体"/>
          <w:b/>
          <w:bCs/>
        </w:rPr>
        <w:t>2.停止发放贷款，宣布本合同项下已发放贷款提前到期，要求借款人立即偿还全部贷款及相应利息、罚息、</w:t>
      </w:r>
      <w:r>
        <w:rPr>
          <w:rFonts w:hint="eastAsia" w:ascii="黑体" w:hAnsi="黑体" w:eastAsia="黑体" w:cs="黑体"/>
          <w:b/>
          <w:bCs/>
        </w:rPr>
        <w:t>复息；</w:t>
      </w:r>
      <w:r>
        <w:rPr>
          <w:rFonts w:ascii="黑体" w:hAnsi="黑体" w:eastAsia="黑体" w:cs="黑体"/>
          <w:b/>
          <w:bCs/>
        </w:rPr>
        <w:t xml:space="preserve">3. </w:t>
      </w:r>
      <w:r>
        <w:rPr>
          <w:rFonts w:hint="eastAsia" w:ascii="黑体" w:hAnsi="黑体" w:eastAsia="黑体" w:cs="黑体"/>
          <w:b/>
          <w:bCs/>
        </w:rPr>
        <w:t>按约定从借款人、保证人在贷款人（包括同一法人主体所属的</w:t>
      </w:r>
      <w:r>
        <w:rPr>
          <w:rFonts w:hint="eastAsia" w:ascii="黑体" w:hAnsi="黑体" w:eastAsia="黑体" w:cs="黑体"/>
          <w:b/>
          <w:bCs/>
          <w:lang w:eastAsia="zh-CN"/>
        </w:rPr>
        <w:t>其他</w:t>
      </w:r>
      <w:r>
        <w:rPr>
          <w:rFonts w:hint="eastAsia" w:ascii="黑体" w:hAnsi="黑体" w:eastAsia="黑体" w:cs="黑体"/>
          <w:b/>
          <w:bCs/>
        </w:rPr>
        <w:t>分支机构）处开立的账户中止付、扣划相应款项用于偿还贷款本息及费用；</w:t>
      </w:r>
      <w:r>
        <w:rPr>
          <w:rFonts w:ascii="黑体" w:hAnsi="黑体" w:eastAsia="黑体" w:cs="黑体"/>
          <w:b/>
          <w:bCs/>
        </w:rPr>
        <w:t>4.要求保证人履行连带保证责任；5.要求实现抵押权；6.提前解除本合同；7.其他法律允许的措施</w:t>
      </w:r>
      <w:r>
        <w:rPr>
          <w:rFonts w:hint="eastAsia" w:ascii="仿宋_GB2312" w:hAnsi="仿宋_GB2312" w:eastAsia="仿宋_GB2312" w:cs="仿宋_GB2312"/>
          <w:b/>
          <w:bCs/>
        </w:rPr>
        <w:t>。</w:t>
      </w:r>
    </w:p>
    <w:p w14:paraId="2CC689E1">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bCs/>
        </w:rPr>
        <w:t>在本合同有效期内，借款人发生上述第（三）（四）（六）（七）（九）、（十一）、（十五）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Pr>
          <w:rFonts w:hint="eastAsia" w:ascii="黑体" w:hAnsi="黑体" w:eastAsia="黑体" w:cs="黑体"/>
        </w:rPr>
        <w:t>：</w:t>
      </w:r>
      <w:r>
        <w:rPr>
          <w:rFonts w:ascii="黑体" w:hAnsi="黑体" w:eastAsia="黑体" w:cs="黑体"/>
          <w:b/>
          <w:bCs/>
        </w:rPr>
        <w:t>1.按规定计收罚息和</w:t>
      </w:r>
      <w:r>
        <w:rPr>
          <w:rFonts w:hint="eastAsia" w:ascii="黑体" w:hAnsi="黑体" w:eastAsia="黑体" w:cs="黑体"/>
          <w:b/>
          <w:bCs/>
        </w:rPr>
        <w:t>复息；</w:t>
      </w:r>
      <w:r>
        <w:rPr>
          <w:rFonts w:ascii="黑体" w:hAnsi="黑体" w:eastAsia="黑体" w:cs="黑体"/>
          <w:b/>
          <w:bCs/>
        </w:rPr>
        <w:t>2.停止发放贷款，宣布本合同项下已发放贷款提前到期，要求借款人立即偿还全部贷款及相应利息、罚息、</w:t>
      </w:r>
      <w:r>
        <w:rPr>
          <w:rFonts w:hint="eastAsia" w:ascii="黑体" w:hAnsi="黑体" w:eastAsia="黑体" w:cs="黑体"/>
          <w:b/>
          <w:bCs/>
        </w:rPr>
        <w:t>复息；</w:t>
      </w:r>
      <w:r>
        <w:rPr>
          <w:rFonts w:ascii="黑体" w:hAnsi="黑体" w:eastAsia="黑体" w:cs="黑体"/>
          <w:b/>
          <w:bCs/>
        </w:rPr>
        <w:t xml:space="preserve">3. </w:t>
      </w:r>
      <w:r>
        <w:rPr>
          <w:rFonts w:hint="eastAsia" w:ascii="黑体" w:hAnsi="黑体" w:eastAsia="黑体" w:cs="黑体"/>
          <w:b/>
          <w:bCs/>
        </w:rPr>
        <w:t>按约定从借款人、保证人在贷款人（包括同一法人主体所属的</w:t>
      </w:r>
      <w:r>
        <w:rPr>
          <w:rFonts w:hint="eastAsia" w:ascii="黑体" w:hAnsi="黑体" w:eastAsia="黑体" w:cs="黑体"/>
          <w:b/>
          <w:bCs/>
          <w:lang w:eastAsia="zh-CN"/>
        </w:rPr>
        <w:t>其他</w:t>
      </w:r>
      <w:r>
        <w:rPr>
          <w:rFonts w:hint="eastAsia" w:ascii="黑体" w:hAnsi="黑体" w:eastAsia="黑体" w:cs="黑体"/>
          <w:b/>
          <w:bCs/>
        </w:rPr>
        <w:t>分支机构）处开立的账户中止付、扣划相应款项用于偿还贷款本息及费用；</w:t>
      </w:r>
      <w:r>
        <w:rPr>
          <w:rFonts w:ascii="黑体" w:hAnsi="黑体" w:eastAsia="黑体" w:cs="黑体"/>
          <w:b/>
          <w:bCs/>
        </w:rPr>
        <w:t>4.要求保证人履行连带保证责任；5.要求实现抵押权；6.提前解除本合同；7.其他法律允许的措施。</w:t>
      </w:r>
    </w:p>
    <w:p w14:paraId="57A440D9">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ascii="仿宋_GB2312" w:hAnsi="仿宋_GB2312" w:eastAsia="仿宋_GB2312" w:cs="仿宋_GB2312"/>
        </w:rPr>
      </w:pPr>
      <w:r>
        <w:rPr>
          <w:rFonts w:ascii="黑体" w:eastAsia="黑体"/>
          <w:b/>
        </w:rPr>
        <w:t>第</w:t>
      </w:r>
      <w:r>
        <w:rPr>
          <w:rFonts w:hint="eastAsia" w:ascii="黑体" w:eastAsia="黑体"/>
          <w:b/>
        </w:rPr>
        <w:t>九</w:t>
      </w:r>
      <w:r>
        <w:rPr>
          <w:rFonts w:ascii="黑体" w:eastAsia="黑体"/>
          <w:b/>
        </w:rPr>
        <w:t>条</w:t>
      </w:r>
      <w:r>
        <w:rPr>
          <w:rFonts w:hint="eastAsia" w:ascii="黑体" w:eastAsia="黑体"/>
          <w:b/>
        </w:rPr>
        <w:t xml:space="preserve">  借款担保：</w:t>
      </w:r>
      <w:r>
        <w:rPr>
          <w:rFonts w:hint="eastAsia" w:ascii="仿宋_GB2312" w:hAnsi="仿宋_GB2312" w:eastAsia="仿宋_GB2312" w:cs="仿宋_GB2312"/>
        </w:rPr>
        <w:t>借款人所提供的担保应在本合同贷款人权利消灭前保持应有的担保能力。如物的担保能力降低或失去担保作用或保证人发生上述第八条第（四）项至第（十六）项情形之一，贷款人有权停止本合同尚未发放的贷款、提前收回未到期的贷款。</w:t>
      </w:r>
    </w:p>
    <w:p w14:paraId="5358A2F1">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ascii="黑体" w:eastAsia="黑体"/>
          <w:b/>
        </w:rPr>
      </w:pPr>
      <w:r>
        <w:rPr>
          <w:rFonts w:ascii="黑体" w:eastAsia="黑体"/>
          <w:b/>
        </w:rPr>
        <w:t>第</w:t>
      </w:r>
      <w:r>
        <w:rPr>
          <w:rFonts w:hint="eastAsia" w:ascii="黑体" w:eastAsia="黑体"/>
          <w:b/>
        </w:rPr>
        <w:t>十</w:t>
      </w:r>
      <w:r>
        <w:rPr>
          <w:rFonts w:ascii="黑体" w:eastAsia="黑体"/>
          <w:b/>
        </w:rPr>
        <w:t>条</w:t>
      </w:r>
      <w:r>
        <w:rPr>
          <w:rFonts w:hint="eastAsia" w:ascii="黑体" w:eastAsia="黑体"/>
          <w:b/>
        </w:rPr>
        <w:t xml:space="preserve">  </w:t>
      </w:r>
      <w:r>
        <w:rPr>
          <w:rFonts w:ascii="黑体" w:eastAsia="黑体"/>
          <w:b/>
        </w:rPr>
        <w:t>违约责任</w:t>
      </w:r>
      <w:r>
        <w:rPr>
          <w:rFonts w:hint="eastAsia" w:ascii="黑体" w:eastAsia="黑体"/>
          <w:b/>
        </w:rPr>
        <w:t>：</w:t>
      </w:r>
    </w:p>
    <w:p w14:paraId="0A6FD6CA">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（一）借款人违约及其违约责任：1.未按期归还贷款本金（含展期），从逾期之日起按借款合同所约定的利率加收</w:t>
      </w:r>
      <w:r>
        <w:rPr>
          <w:rFonts w:hint="eastAsia" w:ascii="仿宋_GB2312" w:hAnsi="仿宋_GB2312" w:eastAsia="仿宋_GB2312" w:cs="仿宋_GB2312"/>
          <w:u w:val="single"/>
        </w:rPr>
        <w:t xml:space="preserve">    </w:t>
      </w:r>
      <w:r>
        <w:rPr>
          <w:rFonts w:hint="eastAsia" w:ascii="仿宋_GB2312" w:hAnsi="仿宋_GB2312" w:eastAsia="仿宋_GB2312" w:cs="仿宋_GB2312"/>
        </w:rPr>
        <w:t>%的罚息利率计收罚息。2.未按期偿付贷款利息和罚息，按罚息利率计收复息。3.不按合同约定使用贷款，对挤占挪用的贷款在挪用期间按约定利率加收</w:t>
      </w:r>
      <w:r>
        <w:rPr>
          <w:rFonts w:hint="eastAsia" w:ascii="仿宋_GB2312" w:hAnsi="仿宋_GB2312" w:eastAsia="仿宋_GB2312" w:cs="仿宋_GB2312"/>
          <w:u w:val="single"/>
        </w:rPr>
        <w:t xml:space="preserve">   </w:t>
      </w:r>
      <w:r>
        <w:rPr>
          <w:rFonts w:hint="eastAsia" w:ascii="仿宋_GB2312" w:hAnsi="仿宋_GB2312" w:eastAsia="仿宋_GB2312" w:cs="仿宋_GB2312"/>
        </w:rPr>
        <w:t>%的罚息利率计收罚息。4.借款人提前归还贷款，须经贷款人同意；贷款人对提前归还的借款有权按本合同约定的期限、利率向借款人收取利息，但如征得贷款人同意，可按本合同约定的利率和实际天数计收利息。</w:t>
      </w:r>
    </w:p>
    <w:p w14:paraId="7F8FB1AF">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（二）贷款人违约及其违约责任：贷款人未依约向借款人提供贷款的，按违约金额、逾期罚息利率和违约天数向借款人支付违约金。</w:t>
      </w:r>
    </w:p>
    <w:p w14:paraId="46A09084">
      <w:pPr>
        <w:keepNext w:val="0"/>
        <w:keepLines w:val="0"/>
        <w:pageBreakBefore w:val="0"/>
        <w:widowControl w:val="0"/>
        <w:kinsoku/>
        <w:wordWrap/>
        <w:overflowPunct/>
        <w:topLinePunct w:val="0"/>
        <w:autoSpaceDE/>
        <w:autoSpaceDN/>
        <w:bidi w:val="0"/>
        <w:adjustRightInd w:val="0"/>
        <w:snapToGrid/>
        <w:spacing w:line="324" w:lineRule="exact"/>
        <w:ind w:firstLine="422" w:firstLineChars="200"/>
        <w:textAlignment w:val="auto"/>
        <w:rPr>
          <w:rFonts w:ascii="黑体" w:hAnsi="黑体" w:eastAsia="黑体" w:cs="黑体"/>
          <w:b/>
          <w:bCs/>
        </w:rPr>
      </w:pPr>
      <w:r>
        <w:rPr>
          <w:rFonts w:ascii="黑体" w:eastAsia="黑体"/>
          <w:b/>
        </w:rPr>
        <w:t>第</w:t>
      </w:r>
      <w:r>
        <w:rPr>
          <w:rFonts w:hint="eastAsia" w:ascii="黑体" w:eastAsia="黑体"/>
          <w:b/>
        </w:rPr>
        <w:t>十一</w:t>
      </w:r>
      <w:r>
        <w:rPr>
          <w:rFonts w:ascii="黑体" w:eastAsia="黑体"/>
          <w:b/>
        </w:rPr>
        <w:t>条</w:t>
      </w:r>
      <w:r>
        <w:rPr>
          <w:rFonts w:hint="eastAsia" w:ascii="黑体" w:eastAsia="黑体"/>
          <w:b/>
        </w:rPr>
        <w:t xml:space="preserve">  </w:t>
      </w:r>
      <w:r>
        <w:rPr>
          <w:rFonts w:ascii="黑体" w:eastAsia="黑体"/>
          <w:b/>
        </w:rPr>
        <w:t>合同的履行：</w:t>
      </w:r>
      <w:r>
        <w:rPr>
          <w:rFonts w:hint="eastAsia" w:ascii="仿宋_GB2312" w:hAnsi="仿宋_GB2312" w:eastAsia="仿宋_GB2312" w:cs="仿宋_GB2312"/>
        </w:rPr>
        <w:t>（一）贷款人将贷款划入借款人账户时即视为贷款人履行了发放贷款之义务。</w:t>
      </w:r>
      <w:r>
        <w:rPr>
          <w:rFonts w:hint="eastAsia" w:ascii="黑体" w:hAnsi="黑体" w:eastAsia="黑体" w:cs="黑体"/>
          <w:b/>
          <w:bCs/>
        </w:rPr>
        <w:t>（二）贷款人收回到期贷款本息或依约提前收回贷款本息，可直接从借款人在贷款人（包括同一法人主体所属的</w:t>
      </w:r>
      <w:r>
        <w:rPr>
          <w:rFonts w:hint="eastAsia" w:ascii="黑体" w:hAnsi="黑体" w:eastAsia="黑体" w:cs="黑体"/>
          <w:b/>
          <w:bCs/>
          <w:lang w:eastAsia="zh-CN"/>
        </w:rPr>
        <w:t>其他</w:t>
      </w:r>
      <w:r>
        <w:rPr>
          <w:rFonts w:hint="eastAsia" w:ascii="黑体" w:hAnsi="黑体" w:eastAsia="黑体" w:cs="黑体"/>
          <w:b/>
          <w:bCs/>
        </w:rPr>
        <w:t>分支机构）处开立的账户中</w:t>
      </w:r>
      <w:bookmarkStart w:id="0" w:name="_GoBack"/>
      <w:r>
        <w:rPr>
          <w:rFonts w:hint="eastAsia" w:ascii="黑体" w:hAnsi="黑体" w:eastAsia="黑体" w:cs="黑体"/>
          <w:b/>
          <w:bCs/>
        </w:rPr>
        <w:t>止付</w:t>
      </w:r>
      <w:bookmarkEnd w:id="0"/>
      <w:r>
        <w:rPr>
          <w:rFonts w:hint="eastAsia" w:ascii="黑体" w:hAnsi="黑体" w:eastAsia="黑体" w:cs="黑体"/>
          <w:b/>
          <w:bCs/>
        </w:rPr>
        <w:t>、扣划相应款项用于偿还贷款本息及费用。</w:t>
      </w:r>
    </w:p>
    <w:p w14:paraId="18D5013B">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ascii="仿宋_GB2312" w:hAnsi="仿宋_GB2312" w:eastAsia="仿宋_GB2312" w:cs="仿宋_GB2312"/>
        </w:rPr>
      </w:pPr>
      <w:r>
        <w:rPr>
          <w:rFonts w:ascii="黑体" w:eastAsia="黑体"/>
          <w:b/>
        </w:rPr>
        <w:t>第十</w:t>
      </w:r>
      <w:r>
        <w:rPr>
          <w:rFonts w:hint="eastAsia" w:ascii="黑体" w:eastAsia="黑体"/>
          <w:b/>
        </w:rPr>
        <w:t>二</w:t>
      </w:r>
      <w:r>
        <w:rPr>
          <w:rFonts w:ascii="黑体" w:eastAsia="黑体"/>
          <w:b/>
        </w:rPr>
        <w:t>条</w:t>
      </w:r>
      <w:r>
        <w:rPr>
          <w:rFonts w:hint="eastAsia" w:ascii="黑体" w:eastAsia="黑体"/>
          <w:b/>
        </w:rPr>
        <w:t xml:space="preserve">  </w:t>
      </w:r>
      <w:r>
        <w:rPr>
          <w:rFonts w:ascii="黑体" w:eastAsia="黑体"/>
          <w:b/>
        </w:rPr>
        <w:t>合同的成立、生效与解除：</w:t>
      </w:r>
      <w:r>
        <w:rPr>
          <w:rFonts w:hint="eastAsia" w:ascii="仿宋_GB2312" w:hAnsi="仿宋_GB2312" w:eastAsia="仿宋_GB2312" w:cs="仿宋_GB2312"/>
        </w:rPr>
        <w:t>（一）本合同自各方签名、盖章或者按指印之日起成立；且借款人应为贷款人债权提供适格的担保，本合同自担保合同成立并生效之日起生效。（二）若在本合同成立之日起三十日内，借款人依约应为贷款人债权提供适格的担保却未提供适格的担保，贷款人有权解除本合同。</w:t>
      </w:r>
    </w:p>
    <w:p w14:paraId="3E9CEFC7">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eastAsia="楷体_GB2312"/>
          <w:u w:val="single"/>
        </w:rPr>
      </w:pPr>
      <w:r>
        <w:rPr>
          <w:rFonts w:ascii="黑体" w:eastAsia="黑体"/>
          <w:b/>
        </w:rPr>
        <w:t>第十</w:t>
      </w:r>
      <w:r>
        <w:rPr>
          <w:rFonts w:hint="eastAsia" w:ascii="黑体" w:eastAsia="黑体"/>
          <w:b/>
        </w:rPr>
        <w:t>三</w:t>
      </w:r>
      <w:r>
        <w:rPr>
          <w:rFonts w:ascii="黑体" w:eastAsia="黑体"/>
          <w:b/>
        </w:rPr>
        <w:t>条</w:t>
      </w:r>
      <w:r>
        <w:rPr>
          <w:rFonts w:hint="eastAsia" w:ascii="黑体" w:eastAsia="黑体"/>
          <w:b/>
        </w:rPr>
        <w:t xml:space="preserve">  </w:t>
      </w:r>
      <w:r>
        <w:rPr>
          <w:rFonts w:ascii="黑体" w:eastAsia="黑体"/>
          <w:b/>
        </w:rPr>
        <w:t>其他约定事项</w:t>
      </w:r>
      <w:r>
        <w:rPr>
          <w:rFonts w:hint="eastAsia" w:ascii="黑体" w:eastAsia="黑体"/>
          <w:b/>
        </w:rPr>
        <w:t>：</w:t>
      </w:r>
      <w:r>
        <w:rPr>
          <w:rFonts w:eastAsia="楷体_GB2312"/>
          <w:u w:val="single"/>
        </w:rPr>
        <w:t xml:space="preserve">                                         </w:t>
      </w:r>
      <w:r>
        <w:rPr>
          <w:rFonts w:hint="eastAsia" w:eastAsia="楷体_GB2312"/>
          <w:u w:val="single"/>
        </w:rPr>
        <w:t xml:space="preserve">  </w:t>
      </w:r>
      <w:r>
        <w:rPr>
          <w:rFonts w:eastAsia="楷体_GB2312"/>
          <w:u w:val="single"/>
        </w:rPr>
        <w:t xml:space="preserve">                 </w:t>
      </w:r>
    </w:p>
    <w:p w14:paraId="08666BDC">
      <w:pPr>
        <w:keepNext w:val="0"/>
        <w:keepLines w:val="0"/>
        <w:pageBreakBefore w:val="0"/>
        <w:widowControl w:val="0"/>
        <w:kinsoku/>
        <w:wordWrap/>
        <w:overflowPunct/>
        <w:topLinePunct w:val="0"/>
        <w:autoSpaceDE/>
        <w:autoSpaceDN/>
        <w:bidi w:val="0"/>
        <w:snapToGrid/>
        <w:spacing w:line="324" w:lineRule="exact"/>
        <w:textAlignment w:val="auto"/>
        <w:rPr>
          <w:rFonts w:eastAsia="楷体_GB2312"/>
        </w:rPr>
      </w:pPr>
      <w:r>
        <w:rPr>
          <w:rFonts w:eastAsia="楷体_GB2312"/>
          <w:u w:val="single"/>
        </w:rPr>
        <w:t xml:space="preserve">                                                                        </w:t>
      </w:r>
      <w:r>
        <w:rPr>
          <w:rFonts w:hint="eastAsia" w:eastAsia="楷体_GB2312"/>
          <w:u w:val="single"/>
        </w:rPr>
        <w:t xml:space="preserve">       </w:t>
      </w:r>
      <w:r>
        <w:rPr>
          <w:rFonts w:eastAsia="楷体_GB2312"/>
          <w:u w:val="single"/>
        </w:rPr>
        <w:t xml:space="preserve">      </w:t>
      </w:r>
      <w:r>
        <w:rPr>
          <w:rFonts w:eastAsia="楷体_GB2312"/>
        </w:rPr>
        <w:t>。</w:t>
      </w:r>
    </w:p>
    <w:p w14:paraId="24F61656">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ascii="黑体" w:hAnsi="黑体" w:eastAsia="黑体" w:cs="黑体"/>
          <w:b/>
        </w:rPr>
      </w:pPr>
      <w:r>
        <w:rPr>
          <w:rFonts w:ascii="黑体" w:eastAsia="黑体"/>
          <w:b/>
        </w:rPr>
        <w:t>第十</w:t>
      </w:r>
      <w:r>
        <w:rPr>
          <w:rFonts w:hint="eastAsia" w:ascii="黑体" w:eastAsia="黑体"/>
          <w:b/>
        </w:rPr>
        <w:t>四</w:t>
      </w:r>
      <w:r>
        <w:rPr>
          <w:rFonts w:ascii="黑体" w:eastAsia="黑体"/>
          <w:b/>
        </w:rPr>
        <w:t>条</w:t>
      </w:r>
      <w:r>
        <w:rPr>
          <w:rFonts w:hint="eastAsia" w:ascii="黑体" w:eastAsia="黑体"/>
          <w:b/>
        </w:rPr>
        <w:t xml:space="preserve">  </w:t>
      </w:r>
      <w:r>
        <w:rPr>
          <w:rFonts w:ascii="黑体" w:eastAsia="黑体"/>
          <w:b/>
        </w:rPr>
        <w:t>信息使用：</w:t>
      </w:r>
      <w:r>
        <w:rPr>
          <w:rFonts w:hint="eastAsia" w:ascii="仿宋_GB2312" w:hAnsi="仿宋_GB2312" w:eastAsia="仿宋_GB2312" w:cs="仿宋_GB2312"/>
        </w:rPr>
        <w:t>借款人同意贷款人根据中国人民银行或其他管理部门的有关规定，在中国人民银行个人（企业）信用信息基础数据库及有关信息系统上录入（查询、披露）借款人的有关信息。</w:t>
      </w:r>
      <w:r>
        <w:rPr>
          <w:rFonts w:hint="eastAsia" w:ascii="黑体" w:hAnsi="黑体" w:eastAsia="黑体" w:cs="黑体"/>
          <w:b/>
        </w:rPr>
        <w:t>借款人在本合同项下发生违约行为时，贷款人有权视违约情况，依法公开违约信息，或为催收之目的将有关信息提供给催收机构。</w:t>
      </w:r>
    </w:p>
    <w:p w14:paraId="0FC3B072">
      <w:pPr>
        <w:keepNext w:val="0"/>
        <w:keepLines w:val="0"/>
        <w:pageBreakBefore w:val="0"/>
        <w:widowControl w:val="0"/>
        <w:kinsoku/>
        <w:wordWrap/>
        <w:overflowPunct/>
        <w:topLinePunct w:val="0"/>
        <w:autoSpaceDE/>
        <w:autoSpaceDN/>
        <w:bidi w:val="0"/>
        <w:snapToGrid/>
        <w:spacing w:line="324" w:lineRule="exact"/>
        <w:ind w:firstLine="420"/>
        <w:textAlignment w:val="auto"/>
        <w:rPr>
          <w:rFonts w:ascii="黑体" w:hAnsi="黑体" w:eastAsia="黑体" w:cs="黑体"/>
          <w:b/>
          <w:bCs/>
        </w:rPr>
      </w:pPr>
      <w:r>
        <w:rPr>
          <w:rFonts w:ascii="黑体" w:eastAsia="黑体"/>
          <w:b/>
          <w:sz w:val="20"/>
          <w:szCs w:val="20"/>
        </w:rPr>
        <w:t>第十</w:t>
      </w:r>
      <w:r>
        <w:rPr>
          <w:rFonts w:hint="eastAsia" w:ascii="黑体" w:eastAsia="黑体"/>
          <w:b/>
          <w:sz w:val="20"/>
          <w:szCs w:val="20"/>
        </w:rPr>
        <w:t>五</w:t>
      </w:r>
      <w:r>
        <w:rPr>
          <w:rFonts w:ascii="黑体" w:eastAsia="黑体"/>
          <w:b/>
          <w:sz w:val="20"/>
          <w:szCs w:val="20"/>
        </w:rPr>
        <w:t>条</w:t>
      </w:r>
      <w:r>
        <w:rPr>
          <w:rFonts w:hint="eastAsia" w:ascii="黑体" w:eastAsia="黑体"/>
          <w:b/>
          <w:sz w:val="20"/>
          <w:szCs w:val="20"/>
        </w:rPr>
        <w:t xml:space="preserve">  </w:t>
      </w:r>
      <w:r>
        <w:rPr>
          <w:rFonts w:hint="eastAsia" w:ascii="黑体" w:hAnsi="黑体" w:eastAsia="黑体" w:cs="黑体"/>
          <w:b/>
          <w:bCs/>
          <w:sz w:val="20"/>
          <w:szCs w:val="20"/>
        </w:rPr>
        <w:t>争议的解决方式：</w:t>
      </w:r>
      <w:r>
        <w:rPr>
          <w:rFonts w:hint="eastAsia" w:ascii="黑体" w:hAnsi="黑体" w:eastAsia="黑体" w:cs="黑体"/>
          <w:b/>
          <w:bCs/>
        </w:rPr>
        <w:t>本合同发生纠纷，由各方协商解决；协商不成的，任一当事方均有权选择以下争议解决方式（在选项前□内打√）：</w:t>
      </w:r>
    </w:p>
    <w:p w14:paraId="6154B8AA">
      <w:pPr>
        <w:keepNext w:val="0"/>
        <w:keepLines w:val="0"/>
        <w:pageBreakBefore w:val="0"/>
        <w:widowControl w:val="0"/>
        <w:kinsoku/>
        <w:wordWrap/>
        <w:overflowPunct/>
        <w:topLinePunct w:val="0"/>
        <w:autoSpaceDE/>
        <w:autoSpaceDN/>
        <w:bidi w:val="0"/>
        <w:snapToGrid/>
        <w:spacing w:line="324" w:lineRule="exact"/>
        <w:ind w:firstLine="420"/>
        <w:textAlignment w:val="auto"/>
        <w:rPr>
          <w:rFonts w:ascii="黑体" w:hAnsi="黑体" w:eastAsia="黑体" w:cs="黑体"/>
          <w:b/>
          <w:bCs/>
        </w:rPr>
      </w:pPr>
      <w:r>
        <w:rPr>
          <w:rFonts w:hint="eastAsia" w:ascii="黑体" w:hAnsi="黑体" w:eastAsia="黑体" w:cs="黑体"/>
          <w:b/>
          <w:bCs/>
        </w:rPr>
        <w:t>□将该争议提交贷款人住所地人民法院通过诉讼解决。</w:t>
      </w:r>
    </w:p>
    <w:p w14:paraId="0A3D34E4">
      <w:pPr>
        <w:keepNext w:val="0"/>
        <w:keepLines w:val="0"/>
        <w:pageBreakBefore w:val="0"/>
        <w:widowControl w:val="0"/>
        <w:kinsoku/>
        <w:wordWrap/>
        <w:overflowPunct/>
        <w:topLinePunct w:val="0"/>
        <w:autoSpaceDE/>
        <w:autoSpaceDN/>
        <w:bidi w:val="0"/>
        <w:snapToGrid/>
        <w:spacing w:line="324" w:lineRule="exact"/>
        <w:ind w:firstLine="420"/>
        <w:textAlignment w:val="auto"/>
        <w:rPr>
          <w:rFonts w:ascii="黑体" w:hAnsi="黑体" w:eastAsia="黑体" w:cs="黑体"/>
          <w:b/>
          <w:bCs/>
        </w:rPr>
      </w:pPr>
      <w:r>
        <w:rPr>
          <w:rFonts w:hint="eastAsia" w:ascii="黑体" w:hAnsi="黑体" w:eastAsia="黑体" w:cs="黑体"/>
          <w:b/>
          <w:bCs/>
        </w:rPr>
        <w:t>□将该争议提交</w:t>
      </w:r>
      <w:r>
        <w:rPr>
          <w:rFonts w:hint="eastAsia" w:ascii="黑体" w:hAnsi="黑体" w:eastAsia="黑体" w:cs="黑体"/>
          <w:b/>
          <w:bCs/>
          <w:u w:val="single"/>
        </w:rPr>
        <w:t xml:space="preserve">         </w:t>
      </w:r>
      <w:r>
        <w:rPr>
          <w:rFonts w:hint="eastAsia" w:ascii="黑体" w:hAnsi="黑体" w:eastAsia="黑体" w:cs="黑体"/>
          <w:b/>
          <w:bCs/>
        </w:rPr>
        <w:t>仲裁委员会，按照申请仲裁时该委员会有效的仲裁规则进行仲裁。该仲裁裁决是终局的，对各方均有约束力。</w:t>
      </w:r>
    </w:p>
    <w:p w14:paraId="6922CE37">
      <w:pPr>
        <w:keepNext w:val="0"/>
        <w:keepLines w:val="0"/>
        <w:pageBreakBefore w:val="0"/>
        <w:widowControl w:val="0"/>
        <w:kinsoku/>
        <w:wordWrap/>
        <w:overflowPunct/>
        <w:topLinePunct w:val="0"/>
        <w:autoSpaceDE/>
        <w:autoSpaceDN/>
        <w:bidi w:val="0"/>
        <w:snapToGrid/>
        <w:spacing w:line="324" w:lineRule="exact"/>
        <w:ind w:firstLine="420"/>
        <w:textAlignment w:val="auto"/>
        <w:rPr>
          <w:rFonts w:ascii="黑体" w:hAnsi="黑体" w:eastAsia="黑体" w:cs="黑体"/>
          <w:b/>
          <w:bCs/>
        </w:rPr>
      </w:pPr>
      <w:r>
        <w:rPr>
          <w:rFonts w:hint="eastAsia" w:ascii="黑体" w:hAnsi="黑体" w:eastAsia="黑体" w:cs="黑体"/>
          <w:b/>
          <w:bCs/>
        </w:rPr>
        <w:t>□</w:t>
      </w:r>
      <w:r>
        <w:rPr>
          <w:rFonts w:hint="eastAsia" w:ascii="黑体" w:hAnsi="黑体" w:eastAsia="黑体" w:cs="黑体"/>
          <w:b/>
          <w:bCs/>
          <w:u w:val="single"/>
        </w:rPr>
        <w:t xml:space="preserve">                                                                              </w:t>
      </w:r>
      <w:r>
        <w:rPr>
          <w:rFonts w:hint="eastAsia" w:ascii="黑体" w:hAnsi="黑体" w:eastAsia="黑体" w:cs="黑体"/>
          <w:b/>
          <w:bCs/>
        </w:rPr>
        <w:t>。</w:t>
      </w:r>
    </w:p>
    <w:p w14:paraId="774E0771">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ascii="黑体" w:eastAsia="黑体"/>
          <w:b/>
        </w:rPr>
      </w:pPr>
      <w:r>
        <w:rPr>
          <w:rFonts w:ascii="黑体" w:eastAsia="黑体"/>
          <w:b/>
        </w:rPr>
        <w:t>第十</w:t>
      </w:r>
      <w:r>
        <w:rPr>
          <w:rFonts w:hint="eastAsia" w:ascii="黑体" w:eastAsia="黑体"/>
          <w:b/>
        </w:rPr>
        <w:t>六</w:t>
      </w:r>
      <w:r>
        <w:rPr>
          <w:rFonts w:ascii="黑体" w:eastAsia="黑体"/>
          <w:b/>
        </w:rPr>
        <w:t>条</w:t>
      </w:r>
      <w:r>
        <w:rPr>
          <w:rFonts w:hint="eastAsia" w:ascii="黑体" w:eastAsia="黑体"/>
          <w:b/>
        </w:rPr>
        <w:t xml:space="preserve">  </w:t>
      </w:r>
      <w:r>
        <w:rPr>
          <w:rFonts w:ascii="黑体" w:eastAsia="黑体"/>
          <w:b/>
        </w:rPr>
        <w:t>其他</w:t>
      </w:r>
      <w:r>
        <w:rPr>
          <w:rFonts w:hint="eastAsia" w:ascii="黑体" w:eastAsia="黑体"/>
          <w:b/>
        </w:rPr>
        <w:t>：</w:t>
      </w:r>
    </w:p>
    <w:p w14:paraId="078076BC">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u w:val="single"/>
        </w:rPr>
      </w:pPr>
      <w:r>
        <w:rPr>
          <w:rFonts w:hint="eastAsia" w:ascii="仿宋_GB2312" w:hAnsi="仿宋_GB2312" w:eastAsia="仿宋_GB2312" w:cs="仿宋_GB2312"/>
        </w:rPr>
        <w:t>（一）本合同对应的担保合同为：</w:t>
      </w:r>
      <w:r>
        <w:rPr>
          <w:rFonts w:hint="eastAsia" w:ascii="仿宋_GB2312" w:hAnsi="仿宋_GB2312" w:eastAsia="仿宋_GB2312" w:cs="仿宋_GB2312"/>
          <w:u w:val="single"/>
        </w:rPr>
        <w:t xml:space="preserve">                          </w:t>
      </w:r>
      <w:r>
        <w:rPr>
          <w:rFonts w:hint="eastAsia" w:ascii="仿宋_GB2312" w:hAnsi="仿宋_GB2312" w:eastAsia="仿宋_GB2312" w:cs="仿宋_GB2312"/>
        </w:rPr>
        <w:t>，系本合同的组成部分。</w:t>
      </w:r>
    </w:p>
    <w:p w14:paraId="6657C75D">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（二）借款借据等凭证及附件为本合同的组成部分，与本合同具有同等效力。</w:t>
      </w:r>
    </w:p>
    <w:p w14:paraId="5088160C">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hint="eastAsia" w:ascii="黑体" w:hAnsi="黑体" w:eastAsia="黑体" w:cs="黑体"/>
          <w:b/>
          <w:bCs/>
        </w:rPr>
      </w:pPr>
      <w:r>
        <w:rPr>
          <w:rFonts w:hint="eastAsia" w:ascii="黑体" w:hAnsi="黑体" w:eastAsia="黑体" w:cs="黑体"/>
          <w:b/>
          <w:bCs/>
        </w:rPr>
        <w:t>（三）本合同所发生公证费用、财产保全费、财产保全担保费、公告费、鉴定费、诉讼费用及律师代理费等实现债权的合理费用，均由借款人承担。</w:t>
      </w:r>
    </w:p>
    <w:p w14:paraId="0FC2AD58">
      <w:pPr>
        <w:keepNext w:val="0"/>
        <w:keepLines w:val="0"/>
        <w:pageBreakBefore w:val="0"/>
        <w:widowControl w:val="0"/>
        <w:kinsoku/>
        <w:wordWrap/>
        <w:overflowPunct/>
        <w:topLinePunct w:val="0"/>
        <w:autoSpaceDE/>
        <w:autoSpaceDN/>
        <w:bidi w:val="0"/>
        <w:snapToGrid/>
        <w:spacing w:line="324" w:lineRule="exact"/>
        <w:ind w:firstLine="422" w:firstLineChars="200"/>
        <w:textAlignment w:val="auto"/>
        <w:rPr>
          <w:rFonts w:hint="eastAsia" w:ascii="黑体" w:hAnsi="黑体" w:eastAsia="黑体" w:cs="黑体"/>
          <w:b/>
        </w:rPr>
      </w:pPr>
      <w:r>
        <w:rPr>
          <w:rFonts w:hint="eastAsia" w:ascii="黑体" w:hAnsi="黑体" w:eastAsia="黑体" w:cs="黑体"/>
          <w:b/>
          <w:bCs/>
        </w:rPr>
        <w:t>（</w:t>
      </w:r>
      <w:r>
        <w:rPr>
          <w:rFonts w:hint="eastAsia" w:ascii="黑体" w:hAnsi="黑体" w:eastAsia="黑体" w:cs="黑体"/>
          <w:b/>
          <w:bCs/>
          <w:lang w:val="en-US" w:eastAsia="zh-CN"/>
        </w:rPr>
        <w:t>四</w:t>
      </w:r>
      <w:r>
        <w:rPr>
          <w:rFonts w:hint="eastAsia" w:ascii="黑体" w:hAnsi="黑体" w:eastAsia="黑体" w:cs="黑体"/>
          <w:b/>
          <w:bCs/>
        </w:rPr>
        <w:t>）贷</w:t>
      </w:r>
      <w:r>
        <w:rPr>
          <w:rFonts w:hint="eastAsia" w:ascii="黑体" w:hAnsi="黑体" w:eastAsia="黑体" w:cs="黑体"/>
          <w:b/>
        </w:rPr>
        <w:t>款人已提请借款人对本合同各条款作全面、准确的理解，并按借款人的要求对各条款予以充分说明；本合同各条款在订立前均进行了充分磋商；借款人对本合同各条款的含义及相应的法律后果已全部通晓并充分理解。</w:t>
      </w:r>
    </w:p>
    <w:p w14:paraId="3A80BA6C">
      <w:pPr>
        <w:keepNext w:val="0"/>
        <w:keepLines w:val="0"/>
        <w:pageBreakBefore w:val="0"/>
        <w:widowControl w:val="0"/>
        <w:kinsoku/>
        <w:wordWrap/>
        <w:overflowPunct/>
        <w:topLinePunct w:val="0"/>
        <w:autoSpaceDE/>
        <w:autoSpaceDN/>
        <w:bidi w:val="0"/>
        <w:snapToGrid/>
        <w:spacing w:line="32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w:t>
      </w:r>
      <w:r>
        <w:rPr>
          <w:rFonts w:hint="eastAsia" w:ascii="仿宋_GB2312" w:hAnsi="仿宋_GB2312" w:eastAsia="仿宋_GB2312" w:cs="仿宋_GB2312"/>
          <w:lang w:val="en-US" w:eastAsia="zh-CN"/>
        </w:rPr>
        <w:t>五</w:t>
      </w:r>
      <w:r>
        <w:rPr>
          <w:rFonts w:hint="eastAsia" w:ascii="仿宋_GB2312" w:hAnsi="仿宋_GB2312" w:eastAsia="仿宋_GB2312" w:cs="仿宋_GB2312"/>
        </w:rPr>
        <w:t>）本合同一式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份，贷款人执二份，借款人、</w:t>
      </w:r>
      <w:r>
        <w:rPr>
          <w:rFonts w:hint="eastAsia" w:ascii="仿宋_GB2312" w:hAnsi="仿宋_GB2312" w:eastAsia="仿宋_GB2312" w:cs="仿宋_GB2312"/>
          <w:u w:val="single"/>
        </w:rPr>
        <w:t xml:space="preserve">                  </w:t>
      </w:r>
      <w:r>
        <w:rPr>
          <w:rFonts w:hint="eastAsia" w:ascii="仿宋_GB2312" w:hAnsi="仿宋_GB2312" w:eastAsia="仿宋_GB2312" w:cs="仿宋_GB2312"/>
        </w:rPr>
        <w:t>执一份，效力同等。</w:t>
      </w:r>
    </w:p>
    <w:p w14:paraId="777C9693">
      <w:pPr>
        <w:spacing w:line="360" w:lineRule="exact"/>
        <w:ind w:firstLine="420" w:firstLineChars="200"/>
        <w:rPr>
          <w:rFonts w:ascii="仿宋_GB2312" w:hAnsi="仿宋_GB2312" w:eastAsia="仿宋_GB2312" w:cs="仿宋_GB2312"/>
        </w:rPr>
      </w:pPr>
    </w:p>
    <w:tbl>
      <w:tblPr>
        <w:tblStyle w:val="6"/>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2654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6" w:type="dxa"/>
          </w:tcPr>
          <w:p w14:paraId="01A98156">
            <w:pPr>
              <w:spacing w:line="360" w:lineRule="exact"/>
              <w:rPr>
                <w:rFonts w:ascii="仿宋_GB2312" w:hAnsi="仿宋_GB2312" w:eastAsia="仿宋_GB2312" w:cs="仿宋_GB2312"/>
              </w:rPr>
            </w:pPr>
            <w:r>
              <w:rPr>
                <w:rFonts w:hint="eastAsia" w:ascii="仿宋_GB2312" w:hAnsi="仿宋_GB2312" w:eastAsia="仿宋_GB2312" w:cs="仿宋_GB2312"/>
              </w:rPr>
              <w:t xml:space="preserve">                </w:t>
            </w:r>
            <w:r>
              <w:rPr>
                <w:rFonts w:hint="eastAsia" w:ascii="黑体" w:hAnsi="黑体" w:eastAsia="黑体" w:cs="黑体"/>
              </w:rPr>
              <w:t>借款人</w:t>
            </w:r>
          </w:p>
          <w:p w14:paraId="5ED38480">
            <w:pPr>
              <w:spacing w:line="360" w:lineRule="exact"/>
              <w:rPr>
                <w:rFonts w:ascii="仿宋_GB2312" w:hAnsi="仿宋_GB2312" w:eastAsia="仿宋_GB2312" w:cs="仿宋_GB2312"/>
              </w:rPr>
            </w:pPr>
            <w:r>
              <w:rPr>
                <w:rFonts w:hint="eastAsia" w:ascii="仿宋_GB2312" w:hAnsi="仿宋_GB2312" w:eastAsia="仿宋_GB2312" w:cs="仿宋_GB2312"/>
              </w:rPr>
              <w:t>借款人：</w:t>
            </w:r>
          </w:p>
          <w:p w14:paraId="738F0E8C">
            <w:pPr>
              <w:spacing w:line="360" w:lineRule="exact"/>
              <w:rPr>
                <w:rFonts w:ascii="仿宋_GB2312" w:hAnsi="仿宋_GB2312" w:eastAsia="仿宋_GB2312" w:cs="仿宋_GB2312"/>
              </w:rPr>
            </w:pPr>
          </w:p>
          <w:p w14:paraId="522DF350">
            <w:pPr>
              <w:spacing w:line="360" w:lineRule="exact"/>
              <w:rPr>
                <w:rFonts w:ascii="仿宋_GB2312" w:hAnsi="仿宋_GB2312" w:eastAsia="仿宋_GB2312" w:cs="仿宋_GB2312"/>
              </w:rPr>
            </w:pPr>
          </w:p>
          <w:p w14:paraId="47DC37FA">
            <w:pPr>
              <w:spacing w:line="360" w:lineRule="exact"/>
              <w:rPr>
                <w:rFonts w:ascii="仿宋_GB2312" w:hAnsi="仿宋_GB2312" w:eastAsia="仿宋_GB2312" w:cs="仿宋_GB2312"/>
              </w:rPr>
            </w:pPr>
          </w:p>
          <w:p w14:paraId="665C4B95">
            <w:pPr>
              <w:spacing w:line="360" w:lineRule="exact"/>
              <w:rPr>
                <w:rFonts w:ascii="仿宋_GB2312" w:hAnsi="仿宋_GB2312" w:eastAsia="仿宋_GB2312" w:cs="仿宋_GB2312"/>
              </w:rPr>
            </w:pPr>
          </w:p>
          <w:p w14:paraId="7DCC8431">
            <w:pPr>
              <w:spacing w:line="360" w:lineRule="exact"/>
              <w:rPr>
                <w:rFonts w:ascii="仿宋_GB2312" w:hAnsi="仿宋_GB2312" w:eastAsia="仿宋_GB2312" w:cs="仿宋_GB2312"/>
              </w:rPr>
            </w:pPr>
          </w:p>
          <w:p w14:paraId="29F84FAD">
            <w:pPr>
              <w:spacing w:line="360" w:lineRule="exact"/>
              <w:rPr>
                <w:rFonts w:ascii="仿宋_GB2312" w:hAnsi="仿宋_GB2312" w:eastAsia="仿宋_GB2312" w:cs="仿宋_GB2312"/>
              </w:rPr>
            </w:pPr>
            <w:r>
              <w:rPr>
                <w:rFonts w:hint="eastAsia" w:ascii="仿宋_GB2312" w:hAnsi="仿宋_GB2312" w:eastAsia="仿宋_GB2312" w:cs="仿宋_GB2312"/>
              </w:rPr>
              <w:t>法定代表人/负责人：（签字）</w:t>
            </w:r>
          </w:p>
          <w:p w14:paraId="36156DB3">
            <w:pPr>
              <w:spacing w:line="360" w:lineRule="exact"/>
              <w:rPr>
                <w:rFonts w:ascii="仿宋_GB2312" w:hAnsi="仿宋_GB2312" w:eastAsia="仿宋_GB2312" w:cs="仿宋_GB2312"/>
              </w:rPr>
            </w:pPr>
            <w:r>
              <w:rPr>
                <w:rFonts w:hint="eastAsia" w:ascii="仿宋_GB2312" w:hAnsi="仿宋_GB2312" w:eastAsia="仿宋_GB2312" w:cs="仿宋_GB2312"/>
              </w:rPr>
              <w:t>（或代理人）</w:t>
            </w:r>
          </w:p>
        </w:tc>
        <w:tc>
          <w:tcPr>
            <w:tcW w:w="4536" w:type="dxa"/>
          </w:tcPr>
          <w:p w14:paraId="6F1E3B4D">
            <w:pPr>
              <w:spacing w:line="360" w:lineRule="exact"/>
              <w:rPr>
                <w:rFonts w:ascii="仿宋_GB2312" w:hAnsi="仿宋_GB2312" w:eastAsia="仿宋_GB2312" w:cs="仿宋_GB2312"/>
              </w:rPr>
            </w:pPr>
            <w:r>
              <w:rPr>
                <w:rFonts w:hint="eastAsia" w:ascii="仿宋_GB2312" w:hAnsi="仿宋_GB2312" w:eastAsia="仿宋_GB2312" w:cs="仿宋_GB2312"/>
              </w:rPr>
              <w:t xml:space="preserve">                 </w:t>
            </w:r>
            <w:r>
              <w:rPr>
                <w:rFonts w:hint="eastAsia" w:ascii="黑体" w:hAnsi="黑体" w:eastAsia="黑体" w:cs="黑体"/>
              </w:rPr>
              <w:t>贷款人</w:t>
            </w:r>
          </w:p>
          <w:p w14:paraId="75D5D98D">
            <w:pPr>
              <w:spacing w:line="360" w:lineRule="exact"/>
              <w:rPr>
                <w:rFonts w:ascii="仿宋_GB2312" w:hAnsi="仿宋_GB2312" w:eastAsia="仿宋_GB2312" w:cs="仿宋_GB2312"/>
              </w:rPr>
            </w:pPr>
            <w:r>
              <w:rPr>
                <w:rFonts w:hint="eastAsia" w:ascii="仿宋_GB2312" w:hAnsi="仿宋_GB2312" w:eastAsia="仿宋_GB2312" w:cs="仿宋_GB2312"/>
              </w:rPr>
              <w:t>贷款人：</w:t>
            </w:r>
          </w:p>
          <w:p w14:paraId="2807FBAC">
            <w:pPr>
              <w:spacing w:line="360" w:lineRule="exact"/>
              <w:rPr>
                <w:rFonts w:ascii="仿宋_GB2312" w:hAnsi="仿宋_GB2312" w:eastAsia="仿宋_GB2312" w:cs="仿宋_GB2312"/>
              </w:rPr>
            </w:pPr>
          </w:p>
          <w:p w14:paraId="554EBC4A">
            <w:pPr>
              <w:spacing w:line="360" w:lineRule="exact"/>
              <w:rPr>
                <w:rFonts w:ascii="仿宋_GB2312" w:hAnsi="仿宋_GB2312" w:eastAsia="仿宋_GB2312" w:cs="仿宋_GB2312"/>
              </w:rPr>
            </w:pPr>
          </w:p>
          <w:p w14:paraId="489A55AC">
            <w:pPr>
              <w:spacing w:line="360" w:lineRule="exact"/>
              <w:rPr>
                <w:rFonts w:ascii="仿宋_GB2312" w:hAnsi="仿宋_GB2312" w:eastAsia="仿宋_GB2312" w:cs="仿宋_GB2312"/>
              </w:rPr>
            </w:pPr>
          </w:p>
          <w:p w14:paraId="63D58BD0">
            <w:pPr>
              <w:spacing w:line="360" w:lineRule="exact"/>
              <w:rPr>
                <w:rFonts w:ascii="仿宋_GB2312" w:hAnsi="仿宋_GB2312" w:eastAsia="仿宋_GB2312" w:cs="仿宋_GB2312"/>
              </w:rPr>
            </w:pPr>
          </w:p>
          <w:p w14:paraId="12618CB9">
            <w:pPr>
              <w:spacing w:line="360" w:lineRule="exact"/>
              <w:rPr>
                <w:rFonts w:ascii="仿宋_GB2312" w:hAnsi="仿宋_GB2312" w:eastAsia="仿宋_GB2312" w:cs="仿宋_GB2312"/>
              </w:rPr>
            </w:pPr>
          </w:p>
          <w:p w14:paraId="436046BC">
            <w:pPr>
              <w:spacing w:line="360" w:lineRule="exact"/>
              <w:rPr>
                <w:rFonts w:ascii="仿宋_GB2312" w:hAnsi="仿宋_GB2312" w:eastAsia="仿宋_GB2312" w:cs="仿宋_GB2312"/>
              </w:rPr>
            </w:pPr>
            <w:r>
              <w:rPr>
                <w:rFonts w:hint="eastAsia" w:ascii="仿宋_GB2312" w:hAnsi="仿宋_GB2312" w:eastAsia="仿宋_GB2312" w:cs="仿宋_GB2312"/>
              </w:rPr>
              <w:t>负责人：（签字或盖章）</w:t>
            </w:r>
          </w:p>
          <w:p w14:paraId="5F86769B">
            <w:pPr>
              <w:spacing w:line="360" w:lineRule="exact"/>
              <w:rPr>
                <w:rFonts w:ascii="仿宋_GB2312" w:hAnsi="仿宋_GB2312" w:eastAsia="仿宋_GB2312" w:cs="仿宋_GB2312"/>
              </w:rPr>
            </w:pPr>
            <w:r>
              <w:rPr>
                <w:rFonts w:hint="eastAsia" w:ascii="仿宋_GB2312" w:hAnsi="仿宋_GB2312" w:eastAsia="仿宋_GB2312" w:cs="仿宋_GB2312"/>
              </w:rPr>
              <w:t>（或代理人）</w:t>
            </w:r>
          </w:p>
          <w:p w14:paraId="4481101E">
            <w:pPr>
              <w:spacing w:line="360" w:lineRule="exact"/>
              <w:rPr>
                <w:rFonts w:ascii="仿宋_GB2312" w:hAnsi="仿宋_GB2312" w:eastAsia="仿宋_GB2312" w:cs="仿宋_GB2312"/>
              </w:rPr>
            </w:pPr>
          </w:p>
        </w:tc>
      </w:tr>
    </w:tbl>
    <w:p w14:paraId="08382EFB">
      <w:pPr>
        <w:spacing w:line="360" w:lineRule="exact"/>
        <w:ind w:firstLine="5775" w:firstLineChars="2750"/>
        <w:rPr>
          <w:rFonts w:ascii="仿宋_GB2312" w:hAnsi="仿宋_GB2312" w:eastAsia="仿宋_GB2312" w:cs="仿宋_GB2312"/>
        </w:rPr>
      </w:pPr>
    </w:p>
    <w:p w14:paraId="6E6EF772">
      <w:pPr>
        <w:spacing w:line="360" w:lineRule="exact"/>
        <w:ind w:firstLine="5040" w:firstLineChars="2400"/>
        <w:rPr>
          <w:rFonts w:ascii="仿宋_GB2312" w:hAnsi="仿宋_GB2312" w:eastAsia="仿宋_GB2312" w:cs="仿宋_GB2312"/>
        </w:rPr>
      </w:pPr>
      <w:r>
        <w:rPr>
          <w:rFonts w:hint="eastAsia" w:ascii="仿宋_GB2312" w:hAnsi="仿宋_GB2312" w:eastAsia="仿宋_GB2312" w:cs="仿宋_GB2312"/>
        </w:rPr>
        <w:t xml:space="preserve">    签约时间：</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w:t>
      </w:r>
    </w:p>
    <w:sectPr>
      <w:footerReference r:id="rId3" w:type="default"/>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69E1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C11CD0">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6FC11CD0">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ZTUwNTQ3OWExOTljYmE2MmNjNTZkZmUxOGI1OGQifQ=="/>
  </w:docVars>
  <w:rsids>
    <w:rsidRoot w:val="00E16B31"/>
    <w:rsid w:val="000002F6"/>
    <w:rsid w:val="000120B5"/>
    <w:rsid w:val="00024F7B"/>
    <w:rsid w:val="0003057A"/>
    <w:rsid w:val="00051D21"/>
    <w:rsid w:val="00082153"/>
    <w:rsid w:val="000B63D4"/>
    <w:rsid w:val="000B75D3"/>
    <w:rsid w:val="000C1DED"/>
    <w:rsid w:val="00173C56"/>
    <w:rsid w:val="00183D2A"/>
    <w:rsid w:val="001D679B"/>
    <w:rsid w:val="00227771"/>
    <w:rsid w:val="00240078"/>
    <w:rsid w:val="0024105B"/>
    <w:rsid w:val="00245529"/>
    <w:rsid w:val="00287A16"/>
    <w:rsid w:val="00296606"/>
    <w:rsid w:val="002A0B5D"/>
    <w:rsid w:val="003265B7"/>
    <w:rsid w:val="00332858"/>
    <w:rsid w:val="0037374F"/>
    <w:rsid w:val="003A59A0"/>
    <w:rsid w:val="003D0E85"/>
    <w:rsid w:val="003E4C47"/>
    <w:rsid w:val="003F6FD3"/>
    <w:rsid w:val="00445C87"/>
    <w:rsid w:val="004467B5"/>
    <w:rsid w:val="00493780"/>
    <w:rsid w:val="00553E5D"/>
    <w:rsid w:val="00591AB9"/>
    <w:rsid w:val="005B0FB6"/>
    <w:rsid w:val="005E177C"/>
    <w:rsid w:val="00635BF5"/>
    <w:rsid w:val="006371E3"/>
    <w:rsid w:val="00663CAA"/>
    <w:rsid w:val="006A5AB0"/>
    <w:rsid w:val="006B0AE9"/>
    <w:rsid w:val="006B5EAB"/>
    <w:rsid w:val="006D6A62"/>
    <w:rsid w:val="00753F31"/>
    <w:rsid w:val="007549E4"/>
    <w:rsid w:val="007757F9"/>
    <w:rsid w:val="007F6053"/>
    <w:rsid w:val="00824325"/>
    <w:rsid w:val="0084338E"/>
    <w:rsid w:val="00876910"/>
    <w:rsid w:val="008D7706"/>
    <w:rsid w:val="008F7B8C"/>
    <w:rsid w:val="00903043"/>
    <w:rsid w:val="0091439F"/>
    <w:rsid w:val="00920710"/>
    <w:rsid w:val="009E478B"/>
    <w:rsid w:val="00A00AA7"/>
    <w:rsid w:val="00A63AE5"/>
    <w:rsid w:val="00AE578C"/>
    <w:rsid w:val="00AF1D78"/>
    <w:rsid w:val="00B64985"/>
    <w:rsid w:val="00BE400A"/>
    <w:rsid w:val="00C43A0B"/>
    <w:rsid w:val="00C74DEE"/>
    <w:rsid w:val="00C825E4"/>
    <w:rsid w:val="00D14745"/>
    <w:rsid w:val="00D4513D"/>
    <w:rsid w:val="00D67A04"/>
    <w:rsid w:val="00D77510"/>
    <w:rsid w:val="00D95C35"/>
    <w:rsid w:val="00DA03C7"/>
    <w:rsid w:val="00DD0A95"/>
    <w:rsid w:val="00DD4EC1"/>
    <w:rsid w:val="00E06A81"/>
    <w:rsid w:val="00E16B31"/>
    <w:rsid w:val="00E365F3"/>
    <w:rsid w:val="00E762EE"/>
    <w:rsid w:val="00E97CD1"/>
    <w:rsid w:val="00EB6DE2"/>
    <w:rsid w:val="00F23497"/>
    <w:rsid w:val="00FE482E"/>
    <w:rsid w:val="05253C89"/>
    <w:rsid w:val="05883450"/>
    <w:rsid w:val="063A4CC7"/>
    <w:rsid w:val="0725316C"/>
    <w:rsid w:val="0A5B2383"/>
    <w:rsid w:val="0AA63F28"/>
    <w:rsid w:val="11261F07"/>
    <w:rsid w:val="13C8726F"/>
    <w:rsid w:val="13EF4F74"/>
    <w:rsid w:val="150C4FB3"/>
    <w:rsid w:val="17655338"/>
    <w:rsid w:val="17FF4AE2"/>
    <w:rsid w:val="187C0BC6"/>
    <w:rsid w:val="1FBDE231"/>
    <w:rsid w:val="1FEF16B9"/>
    <w:rsid w:val="20652981"/>
    <w:rsid w:val="20991530"/>
    <w:rsid w:val="21F845A8"/>
    <w:rsid w:val="24DF76E3"/>
    <w:rsid w:val="2C350F6A"/>
    <w:rsid w:val="2CA211C0"/>
    <w:rsid w:val="2F0B1C32"/>
    <w:rsid w:val="316325AB"/>
    <w:rsid w:val="33171768"/>
    <w:rsid w:val="332672E4"/>
    <w:rsid w:val="3B520B7C"/>
    <w:rsid w:val="3CD05757"/>
    <w:rsid w:val="3E4D38A9"/>
    <w:rsid w:val="3EA06B16"/>
    <w:rsid w:val="400E374E"/>
    <w:rsid w:val="44E43757"/>
    <w:rsid w:val="474446C2"/>
    <w:rsid w:val="47EC31F7"/>
    <w:rsid w:val="4A9E1E81"/>
    <w:rsid w:val="4C0643BB"/>
    <w:rsid w:val="4C9F2706"/>
    <w:rsid w:val="4F7370CA"/>
    <w:rsid w:val="4FEB510E"/>
    <w:rsid w:val="50EE7393"/>
    <w:rsid w:val="54390AF4"/>
    <w:rsid w:val="5B937C81"/>
    <w:rsid w:val="5CF46B61"/>
    <w:rsid w:val="5D5C2D7B"/>
    <w:rsid w:val="60494124"/>
    <w:rsid w:val="642A3DCA"/>
    <w:rsid w:val="6C6C785F"/>
    <w:rsid w:val="6D3A514A"/>
    <w:rsid w:val="6EE6531C"/>
    <w:rsid w:val="70725350"/>
    <w:rsid w:val="70D02AF6"/>
    <w:rsid w:val="74CA1151"/>
    <w:rsid w:val="76B07362"/>
    <w:rsid w:val="77502CDB"/>
    <w:rsid w:val="7F997B6A"/>
    <w:rsid w:val="7FCA26B4"/>
    <w:rsid w:val="ADF75439"/>
    <w:rsid w:val="AEFEF0D3"/>
    <w:rsid w:val="CE778770"/>
    <w:rsid w:val="CEDFF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0"/>
    <w:pPr>
      <w:jc w:val="left"/>
    </w:pPr>
    <w:rPr>
      <w:rFonts w:ascii="Times New Roman" w:hAnsi="Times New Roman"/>
    </w:r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unhideWhenUsed/>
    <w:qFormat/>
    <w:uiPriority w:val="0"/>
    <w:rPr>
      <w:sz w:val="21"/>
      <w:szCs w:val="21"/>
    </w:rPr>
  </w:style>
  <w:style w:type="paragraph" w:customStyle="1" w:styleId="10">
    <w:name w:val="标题行2"/>
    <w:basedOn w:val="1"/>
    <w:next w:val="11"/>
    <w:qFormat/>
    <w:uiPriority w:val="0"/>
    <w:pPr>
      <w:spacing w:afterLines="100"/>
    </w:pPr>
  </w:style>
  <w:style w:type="paragraph" w:customStyle="1" w:styleId="11">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character" w:customStyle="1" w:styleId="12">
    <w:name w:val="批注文字 字符"/>
    <w:link w:val="2"/>
    <w:qFormat/>
    <w:uiPriority w:val="0"/>
    <w:rPr>
      <w:rFonts w:ascii="Times New Roman" w:hAnsi="Times New Roman"/>
      <w:kern w:val="2"/>
      <w:sz w:val="21"/>
      <w:szCs w:val="21"/>
    </w:rPr>
  </w:style>
  <w:style w:type="character" w:customStyle="1" w:styleId="13">
    <w:name w:val="批注框文本 字符"/>
    <w:link w:val="3"/>
    <w:qFormat/>
    <w:uiPriority w:val="0"/>
    <w:rPr>
      <w:kern w:val="2"/>
      <w:sz w:val="18"/>
      <w:szCs w:val="18"/>
    </w:rPr>
  </w:style>
  <w:style w:type="paragraph" w:customStyle="1" w:styleId="14">
    <w:name w:val="修订1"/>
    <w:hidden/>
    <w:semiHidden/>
    <w:qFormat/>
    <w:uiPriority w:val="99"/>
    <w:rPr>
      <w:rFonts w:ascii="Calibri" w:hAnsi="Calibri" w:eastAsia="宋体" w:cs="Times New Roman"/>
      <w:kern w:val="2"/>
      <w:sz w:val="21"/>
      <w:szCs w:val="21"/>
      <w:lang w:val="en-US" w:eastAsia="zh-CN" w:bidi="ar-SA"/>
    </w:rPr>
  </w:style>
  <w:style w:type="paragraph" w:customStyle="1" w:styleId="15">
    <w:name w:val="修订2"/>
    <w:hidden/>
    <w:unhideWhenUsed/>
    <w:qFormat/>
    <w:uiPriority w:val="99"/>
    <w:rPr>
      <w:rFonts w:ascii="Calibri" w:hAnsi="Calibri" w:eastAsia="宋体" w:cs="Times New Roman"/>
      <w:kern w:val="2"/>
      <w:sz w:val="21"/>
      <w:szCs w:val="21"/>
      <w:lang w:val="en-US" w:eastAsia="zh-CN" w:bidi="ar-SA"/>
    </w:rPr>
  </w:style>
  <w:style w:type="paragraph" w:customStyle="1" w:styleId="16">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db1d4744-0d2d-45f2-b9c8-aa0eb11d94ee</errorID>
      <errorWord>,</errorWord>
      <group>L1_Format</group>
      <groupName>格式问题</groupName>
      <ability>L2_HalfPunc</ability>
      <abilityName>全半角检查</abilityName>
      <candidateList>
        <item>，</item>
      </candidateList>
      <explain>文本全半角错误。</explain>
      <paraID>76BB1A90</paraID>
      <start>119</start>
      <end>120</end>
      <status>unmodified</status>
      <modifiedWord/>
      <trackRevisions>false</trackRevisions>
    </reviewItem>
    <reviewItem>
      <errorID>1c26f149-66dc-436f-a82d-8ca15405bfd8</errorID>
      <errorWord>。</errorWord>
      <group>L1_Punc</group>
      <groupName>标点问题</groupName>
      <ability>L2_Punc</ability>
      <abilityName>标点符号检查</abilityName>
      <candidateList/>
      <explain/>
      <paraID>4B307879</paraID>
      <start>87</start>
      <end>88</end>
      <status>unmodified</status>
      <modifiedWord/>
      <trackRevisions>false</trackRevisions>
    </reviewItem>
    <reviewItem>
      <errorID>4a2ae558-c239-44c5-ba48-531632dcc84b</errorID>
      <errorWord>:</errorWord>
      <group>L1_Format</group>
      <groupName>格式问题</groupName>
      <ability>L2_HalfPunc</ability>
      <abilityName>全半角检查</abilityName>
      <candidateList>
        <item>：</item>
      </candidateList>
      <explain>文本全半角错误。</explain>
      <paraID>4B971670</paraID>
      <start>11</start>
      <end>12</end>
      <status>modified</status>
      <modifiedWord>：</modifiedWord>
      <trackRevisions>false</trackRevisions>
    </reviewItem>
    <reviewItem>
      <errorID>cbf6a41e-9ac6-469f-ba3d-81761a8e0a83</errorID>
      <errorWord>(</errorWord>
      <group>L1_Format</group>
      <groupName>格式问题</groupName>
      <ability>L2_HalfPunc</ability>
      <abilityName>全半角检查</abilityName>
      <candidateList>
        <item>（</item>
      </candidateList>
      <explain>文本全半角错误。</explain>
      <paraID>4B971670</paraID>
      <start>50</start>
      <end>51</end>
      <status>modified</status>
      <modifiedWord>（</modifiedWord>
      <trackRevisions>false</trackRevisions>
    </reviewItem>
    <reviewItem>
      <errorID>3fcc2a21-dac5-4926-8e99-74cc889316e1</errorID>
      <errorWord>)</errorWord>
      <group>L1_Format</group>
      <groupName>格式问题</groupName>
      <ability>L2_HalfPunc</ability>
      <abilityName>全半角检查</abilityName>
      <candidateList>
        <item>）</item>
      </candidateList>
      <explain>文本全半角错误。</explain>
      <paraID>4B971670</paraID>
      <start>59</start>
      <end>60</end>
      <status>modified</status>
      <modifiedWord>）</modifiedWord>
      <trackRevisions>false</trackRevisions>
    </reviewItem>
    <reviewItem>
      <errorID>0b82b9d2-dc8c-4a3b-b7cf-5f5f45acbfcd</errorID>
      <errorWord>(</errorWord>
      <group>L1_Format</group>
      <groupName>格式问题</groupName>
      <ability>L2_HalfPunc</ability>
      <abilityName>全半角检查</abilityName>
      <candidateList>
        <item>（</item>
      </candidateList>
      <explain>文本全半角错误。</explain>
      <paraID>4B971670</paraID>
      <start>79</start>
      <end>80</end>
      <status>modified</status>
      <modifiedWord>（</modifiedWord>
      <trackRevisions>false</trackRevisions>
    </reviewItem>
    <reviewItem>
      <errorID>98de4e55-1ca9-4323-9b3c-ef8c24e3d1f7</errorID>
      <errorWord>)</errorWord>
      <group>L1_Format</group>
      <groupName>格式问题</groupName>
      <ability>L2_HalfPunc</ability>
      <abilityName>全半角检查</abilityName>
      <candidateList>
        <item>）</item>
      </candidateList>
      <explain>文本全半角错误。</explain>
      <paraID>4B971670</paraID>
      <start>93</start>
      <end>94</end>
      <status>modified</status>
      <modifiedWord>）</modifiedWord>
      <trackRevisions>false</trackRevisions>
    </reviewItem>
    <reviewItem>
      <errorID>109984b3-7fe6-4b6e-ae66-3ef262280f70</errorID>
      <errorWord>(</errorWord>
      <group>L1_Format</group>
      <groupName>格式问题</groupName>
      <ability>L2_HalfPunc</ability>
      <abilityName>全半角检查</abilityName>
      <candidateList>
        <item>（</item>
      </candidateList>
      <explain>文本全半角错误。</explain>
      <paraID>4B971670</paraID>
      <start>113</start>
      <end>114</end>
      <status>modified</status>
      <modifiedWord>（</modifiedWord>
      <trackRevisions>false</trackRevisions>
    </reviewItem>
    <reviewItem>
      <errorID>2f39d564-9d46-4f0d-8d7d-6d26df9cadff</errorID>
      <errorWord>)</errorWord>
      <group>L1_Format</group>
      <groupName>格式问题</groupName>
      <ability>L2_HalfPunc</ability>
      <abilityName>全半角检查</abilityName>
      <candidateList>
        <item>）</item>
      </candidateList>
      <explain>文本全半角错误。</explain>
      <paraID>4B971670</paraID>
      <start>127</start>
      <end>128</end>
      <status>modified</status>
      <modifiedWord>）</modifiedWord>
      <trackRevisions>false</trackRevisions>
    </reviewItem>
    <reviewItem>
      <errorID>9c7f71ed-8383-437f-aade-fc237ff37bd5</errorID>
      <errorWord>(</errorWord>
      <group>L1_Format</group>
      <groupName>格式问题</groupName>
      <ability>L2_HalfPunc</ability>
      <abilityName>全半角检查</abilityName>
      <candidateList>
        <item>（</item>
      </candidateList>
      <explain>文本全半角错误。</explain>
      <paraID>4B971670</paraID>
      <start>140</start>
      <end>141</end>
      <status>modified</status>
      <modifiedWord>（</modifiedWord>
      <trackRevisions>false</trackRevisions>
    </reviewItem>
    <reviewItem>
      <errorID>084d9de7-9411-4e49-a83a-361a096c5aec</errorID>
      <errorWord>)</errorWord>
      <group>L1_Format</group>
      <groupName>格式问题</groupName>
      <ability>L2_HalfPunc</ability>
      <abilityName>全半角检查</abilityName>
      <candidateList>
        <item>）</item>
      </candidateList>
      <explain>文本全半角错误。</explain>
      <paraID>4B971670</paraID>
      <start>172</start>
      <end>173</end>
      <status>modified</status>
      <modifiedWord>）</modifiedWord>
      <trackRevisions>false</trackRevisions>
    </reviewItem>
    <reviewItem>
      <errorID>fa013b35-56a9-434b-a7ef-dc850efecb74</errorID>
      <errorWord>(</errorWord>
      <group>L1_Format</group>
      <groupName>格式问题</groupName>
      <ability>L2_HalfPunc</ability>
      <abilityName>全半角检查</abilityName>
      <candidateList>
        <item>（</item>
      </candidateList>
      <explain>文本全半角错误。</explain>
      <paraID>4B971670</paraID>
      <start>190</start>
      <end>191</end>
      <status>modified</status>
      <modifiedWord>（</modifiedWord>
      <trackRevisions>false</trackRevisions>
    </reviewItem>
    <reviewItem>
      <errorID>b2e422e7-31c1-4c4b-833c-45326bc5b431</errorID>
      <errorWord>)</errorWord>
      <group>L1_Format</group>
      <groupName>格式问题</groupName>
      <ability>L2_HalfPunc</ability>
      <abilityName>全半角检查</abilityName>
      <candidateList>
        <item>）</item>
      </candidateList>
      <explain>文本全半角错误。</explain>
      <paraID>4B971670</paraID>
      <start>200</start>
      <end>201</end>
      <status>modified</status>
      <modifiedWord>）</modifiedWord>
      <trackRevisions>false</trackRevisions>
    </reviewItem>
    <reviewItem>
      <errorID>2c313b2a-97c5-4985-824f-d2e294445a44</errorID>
      <errorWord>;</errorWord>
      <group>L1_Format</group>
      <groupName>格式问题</groupName>
      <ability>L2_HalfPunc</ability>
      <abilityName>全半角检查</abilityName>
      <candidateList>
        <item>；</item>
      </candidateList>
      <explain>文本全半角错误。</explain>
      <paraID>3D149055</paraID>
      <start>287</start>
      <end>288</end>
      <status>modified</status>
      <modifiedWord>；</modifiedWord>
      <trackRevisions>false</trackRevisions>
    </reviewItem>
    <reviewItem>
      <errorID>8b786da0-5ed2-4288-903b-507cb3028132</errorID>
      <errorWord>)</errorWord>
      <group>L1_Format</group>
      <groupName>格式问题</groupName>
      <ability>L2_HalfPunc</ability>
      <abilityName>全半角检查</abilityName>
      <candidateList>
        <item>）</item>
      </candidateList>
      <explain>文本全半角错误。</explain>
      <paraID>4A37E81F</paraID>
      <start>88</start>
      <end>89</end>
      <status>unmodified</status>
      <modifiedWord/>
      <trackRevisions>false</trackRevisions>
    </reviewItem>
    <reviewItem>
      <errorID>04b6f6af-243c-4799-a803-c43f8cba47cf</errorID>
      <errorWord>务</errorWord>
      <group>L1_Word</group>
      <groupName>字词问题</groupName>
      <ability>L2_Typo</ability>
      <abilityName>字词错误</abilityName>
      <candidateList>
        <item>务的</item>
      </candidateList>
      <explain/>
      <paraID>4A37E81F</paraID>
      <start>135</start>
      <end>136</end>
      <status>unmodified</status>
      <modifiedWord/>
      <trackRevisions>false</trackRevisions>
    </reviewItem>
    <reviewItem>
      <errorID>3af8fced-aa72-4450-8ce6-a130ef15349f</errorID>
      <errorWord>（</errorWord>
      <group>L1_Word</group>
      <groupName>字词问题</groupName>
      <ability>L2_Typo</ability>
      <abilityName>字词错误</abilityName>
      <candidateList>
        <item>（资</item>
      </candidateList>
      <explain/>
      <paraID>4A37E81F</paraID>
      <start>245</start>
      <end>246</end>
      <status>unmodified</status>
      <modifiedWord/>
      <trackRevisions>false</trackRevisions>
    </reviewItem>
    <reviewItem>
      <errorID>e76968d0-8940-484f-a1f4-e8641655971c</errorID>
      <errorWord>其它</errorWord>
      <group>L1_Word</group>
      <groupName>字词问题</groupName>
      <ability>L2_Alias</ability>
      <abilityName>也作/曾用词</abilityName>
      <candidateList>
        <item>其他</item>
      </candidateList>
      <explain>词汇[其它]为不规范表述或旧称，其规范书面表述为[其他]。</explain>
      <paraID>5DD0C29B</paraID>
      <start>179</start>
      <end>181</end>
      <status>modified</status>
      <modifiedWord>其他</modifiedWord>
      <trackRevisions>false</trackRevisions>
    </reviewItem>
    <reviewItem>
      <errorID>cc18b9bb-1371-45a5-9926-6847d320ccf5</errorID>
      <errorWord>（九）、</errorWord>
      <group>L1_Punc</group>
      <groupName>标点问题</groupName>
      <ability>L2_Punc</ability>
      <abilityName>标点符号检查</abilityName>
      <candidateList>
        <item>（九）</item>
      </candidateList>
      <explain>根据国标GB/T 15834-2011《标点符号用法》中的4.5.3.3节，带括号的汉字数字或阿拉伯数字表次序时，后面通常不加顿号。如“（一）指导思想”“（二）行动指南”。</explain>
      <paraID>2CC689E1</paraID>
      <start>29</start>
      <end>33</end>
      <status>unmodified</status>
      <modifiedWord/>
      <trackRevisions>false</trackRevisions>
    </reviewItem>
    <reviewItem>
      <errorID>62c622df-180f-47eb-b4f8-38610982761e</errorID>
      <errorWord>（十一）、</errorWord>
      <group>L1_Punc</group>
      <groupName>标点问题</groupName>
      <ability>L2_Punc</ability>
      <abilityName>标点符号检查</abilityName>
      <candidateList>
        <item>（十一）</item>
      </candidateList>
      <explain>根据国标GB/T 15834-2011《标点符号用法》中的4.5.3.3节，带括号的汉字数字或阿拉伯数字表次序时，后面通常不加顿号。如“（一）指导思想”“（二）行动指南”。</explain>
      <paraID>2CC689E1</paraID>
      <start>33</start>
      <end>38</end>
      <status>unmodified</status>
      <modifiedWord/>
      <trackRevisions>false</trackRevisions>
    </reviewItem>
    <reviewItem>
      <errorID>9239ad2e-5bf1-4eb1-ab30-3d1f0db588a4</errorID>
      <errorWord>其它</errorWord>
      <group>L1_Word</group>
      <groupName>字词问题</groupName>
      <ability>L2_Alias</ability>
      <abilityName>也作/曾用词</abilityName>
      <candidateList>
        <item>其他</item>
      </candidateList>
      <explain>词汇[其它]为不规范表述或旧称，其规范书面表述为[其他]。</explain>
      <paraID>2CC689E1</paraID>
      <start>271</start>
      <end>273</end>
      <status>modified</status>
      <modifiedWord>其他</modifiedWord>
      <trackRevisions>false</trackRevisions>
    </reviewItem>
    <reviewItem>
      <errorID>c6c81fc2-6c31-4098-a1b9-86fad000176f</errorID>
      <errorWord>其它</errorWord>
      <group>L1_Word</group>
      <groupName>字词问题</groupName>
      <ability>L2_Alias</ability>
      <abilityName>也作/曾用词</abilityName>
      <candidateList>
        <item>其他</item>
      </candidateList>
      <explain>词汇[其它]为不规范表述或旧称，其规范书面表述为[其他]。</explain>
      <paraID>46A09084</paraID>
      <start>95</start>
      <end>97</end>
      <status>modified</status>
      <modifiedWord>其他</modifiedWord>
      <trackRevisions>false</trackRevisions>
    </reviewItem>
    <reviewItem>
      <errorID>c9ee3707-5149-4cd8-a1dc-11f86bc0b78e</errorID>
      <errorWord>止付</errorWord>
      <group>L1_Word</group>
      <groupName>字词问题</groupName>
      <ability>L2_Typo</ability>
      <abilityName>字词错误</abilityName>
      <candidateList>
        <item>支付</item>
      </candidateList>
      <explain>存在发音相同字词的误用。</explain>
      <paraID>46A09084</paraID>
      <start>109</start>
      <end>111</end>
      <status>unmodified</status>
      <modifiedWord/>
      <trackRevisions>false</trackRevisions>
    </reviewItem>
    <reviewItem>
      <errorID>683b2da1-c09c-4904-955a-0d06608fdd18</errorID>
      <errorWord>。</errorWord>
      <group>L1_Punc</group>
      <groupName>标点问题</groupName>
      <ability>L2_Punc</ability>
      <abilityName>标点符号检查</abilityName>
      <candidateList/>
      <explain/>
      <paraID> 8666BDC</paraID>
      <start>85</start>
      <end>86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d4fe76-62f1-44b7-9941-8b4744daa38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5001</Words>
  <Characters>5062</Characters>
  <Lines>40</Lines>
  <Paragraphs>11</Paragraphs>
  <TotalTime>2</TotalTime>
  <ScaleCrop>false</ScaleCrop>
  <LinksUpToDate>false</LinksUpToDate>
  <CharactersWithSpaces>6156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2010-10-16T10:41:00Z</dcterms:created>
  <dc:creator>Microsoft.com</dc:creator>
  <cp:lastModifiedBy>冯茂亮</cp:lastModifiedBy>
  <dcterms:modified xsi:type="dcterms:W3CDTF">2025-11-18T05:49:00Z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4623CEE42C074B86BA1A9F92FAEBEB31_13</vt:lpwstr>
  </property>
  <property fmtid="{D5CDD505-2E9C-101B-9397-08002B2CF9AE}" pid="4" name="KSOTemplateDocerSaveRecord">
    <vt:lpwstr>eyJoZGlkIjoiMjY0ZTdmNDljMjFiYTVhYjNmMzJlMTgzMDczMzMxYzMiLCJ1c2VySWQiOiIyOTU4Mjg0NzEifQ==</vt:lpwstr>
  </property>
</Properties>
</file>