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56" w:beforeLines="50" w:after="156" w:afterLines="50"/>
        <w:jc w:val="center"/>
        <w:rPr>
          <w:rFonts w:ascii="仿宋" w:hAnsi="仿宋" w:eastAsia="仿宋" w:cs="仿宋"/>
          <w:b/>
          <w:bCs/>
          <w:color w:val="000000"/>
          <w:kern w:val="0"/>
          <w:sz w:val="36"/>
          <w:szCs w:val="36"/>
          <w:lang w:bidi="ar"/>
        </w:rPr>
      </w:pPr>
      <w:r>
        <w:rPr>
          <w:rFonts w:hint="eastAsia" w:ascii="仿宋" w:hAnsi="仿宋" w:eastAsia="仿宋" w:cs="仿宋"/>
          <w:b/>
          <w:bCs/>
          <w:color w:val="000000"/>
          <w:kern w:val="0"/>
          <w:sz w:val="36"/>
          <w:szCs w:val="36"/>
          <w:lang w:bidi="ar"/>
        </w:rPr>
        <w:t>线上国内保理业务合同</w:t>
      </w:r>
    </w:p>
    <w:p>
      <w:pPr>
        <w:widowControl/>
        <w:snapToGrid w:val="0"/>
        <w:spacing w:before="156" w:beforeLines="50" w:after="156" w:afterLines="50"/>
        <w:ind w:firstLine="420"/>
        <w:jc w:val="left"/>
        <w:rPr>
          <w:rFonts w:hint="default" w:ascii="仿宋" w:hAnsi="仿宋" w:eastAsia="仿宋" w:cs="仿宋"/>
          <w:color w:val="000000"/>
          <w:kern w:val="0"/>
          <w:sz w:val="23"/>
          <w:szCs w:val="23"/>
          <w:lang w:val="en-US" w:eastAsia="zh-CN" w:bidi="ar"/>
        </w:rPr>
      </w:pPr>
      <w:r>
        <w:rPr>
          <w:rFonts w:hint="eastAsia" w:ascii="仿宋" w:hAnsi="仿宋" w:eastAsia="仿宋" w:cs="仿宋"/>
          <w:color w:val="000000"/>
          <w:kern w:val="0"/>
          <w:sz w:val="23"/>
          <w:szCs w:val="23"/>
          <w:lang w:bidi="ar"/>
        </w:rPr>
        <w:t>合同编号：</w:t>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重要提示：本合同由甲方（定义见下</w:t>
      </w:r>
      <w:bookmarkStart w:id="0" w:name="_GoBack"/>
      <w:bookmarkEnd w:id="0"/>
      <w:r>
        <w:rPr>
          <w:rFonts w:hint="eastAsia" w:ascii="仿宋" w:hAnsi="仿宋" w:eastAsia="仿宋" w:cs="仿宋"/>
          <w:color w:val="000000"/>
          <w:kern w:val="0"/>
          <w:sz w:val="23"/>
          <w:szCs w:val="23"/>
          <w:lang w:bidi="ar"/>
        </w:rPr>
        <w:t>文）通过核验电子签名方式在线签署。请甲方审慎阅读并选择接受或不接受本合同，甲方在本合同首页上加盖电子公章，即代表甲方同意本合同全部条款、确认《国内保理业务申请书》的全部内容，并据此向乙方发出保理融资申请要约。乙方接受甲方的融资申请，本合同即告生效，对双方具有法律约束力。</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甲方：【具体见附件《国内保理业务申请书》中的甲方信息】（以下简称“甲方”）</w:t>
      </w:r>
    </w:p>
    <w:p>
      <w:pPr>
        <w:widowControl/>
        <w:snapToGrid w:val="0"/>
        <w:spacing w:before="156" w:beforeLines="50" w:after="156" w:afterLines="50"/>
        <w:ind w:firstLine="420"/>
        <w:rPr>
          <w:rFonts w:hint="eastAsia" w:ascii="仿宋" w:hAnsi="仿宋" w:eastAsia="仿宋" w:cs="仿宋"/>
          <w:color w:val="000000"/>
          <w:sz w:val="23"/>
          <w:szCs w:val="23"/>
          <w:u w:val="single"/>
          <w:lang w:bidi="ar"/>
        </w:rPr>
      </w:pPr>
      <w:r>
        <w:rPr>
          <w:rFonts w:hint="eastAsia" w:ascii="仿宋" w:hAnsi="仿宋" w:eastAsia="仿宋" w:cs="仿宋"/>
          <w:color w:val="000000"/>
          <w:sz w:val="23"/>
          <w:szCs w:val="23"/>
          <w:lang w:bidi="ar"/>
        </w:rPr>
        <w:t>甲方单位盖章：</w:t>
      </w:r>
      <w:r>
        <w:rPr>
          <w:rFonts w:hint="eastAsia" w:ascii="仿宋" w:hAnsi="仿宋" w:eastAsia="仿宋" w:cs="仿宋"/>
          <w:color w:val="000000"/>
          <w:sz w:val="23"/>
          <w:szCs w:val="23"/>
          <w:lang w:bidi="ar"/>
        </w:rPr>
        <w:tab/>
      </w:r>
      <w:r>
        <w:rPr>
          <w:rFonts w:hint="eastAsia" w:ascii="仿宋" w:hAnsi="仿宋" w:eastAsia="仿宋" w:cs="仿宋"/>
          <w:color w:val="000000"/>
          <w:sz w:val="23"/>
          <w:szCs w:val="23"/>
          <w:u w:val="single"/>
          <w:lang w:bidi="ar"/>
        </w:rPr>
        <w:tab/>
      </w:r>
      <w:r>
        <w:rPr>
          <w:rFonts w:hint="eastAsia" w:ascii="仿宋" w:hAnsi="仿宋" w:eastAsia="仿宋" w:cs="仿宋"/>
          <w:color w:val="000000"/>
          <w:sz w:val="23"/>
          <w:szCs w:val="23"/>
          <w:u w:val="single"/>
          <w:lang w:bidi="ar"/>
        </w:rPr>
        <w:tab/>
      </w:r>
      <w:r>
        <w:rPr>
          <w:rFonts w:hint="eastAsia" w:ascii="仿宋" w:hAnsi="仿宋" w:eastAsia="仿宋" w:cs="仿宋"/>
          <w:color w:val="000000"/>
          <w:sz w:val="23"/>
          <w:szCs w:val="23"/>
          <w:u w:val="single"/>
          <w:lang w:bidi="ar"/>
        </w:rPr>
        <w:tab/>
      </w:r>
      <w:r>
        <w:rPr>
          <w:rFonts w:hint="eastAsia" w:ascii="仿宋" w:hAnsi="仿宋" w:eastAsia="仿宋" w:cs="仿宋"/>
          <w:color w:val="000000"/>
          <w:sz w:val="23"/>
          <w:szCs w:val="23"/>
          <w:u w:val="single"/>
          <w:lang w:bidi="ar"/>
        </w:rPr>
        <w:tab/>
      </w:r>
    </w:p>
    <w:p>
      <w:pPr>
        <w:widowControl/>
        <w:snapToGrid w:val="0"/>
        <w:spacing w:before="156" w:beforeLines="50" w:after="156" w:afterLines="50"/>
        <w:ind w:firstLine="420"/>
        <w:rPr>
          <w:rFonts w:hint="eastAsia" w:ascii="仿宋" w:hAnsi="仿宋" w:eastAsia="仿宋" w:cs="仿宋"/>
          <w:color w:val="000000"/>
          <w:sz w:val="23"/>
          <w:szCs w:val="23"/>
          <w:lang w:bidi="ar"/>
        </w:rPr>
      </w:pPr>
    </w:p>
    <w:p>
      <w:pPr>
        <w:widowControl/>
        <w:snapToGrid w:val="0"/>
        <w:spacing w:before="156" w:beforeLines="50" w:after="156" w:afterLines="50"/>
        <w:rPr>
          <w:rFonts w:hint="eastAsia" w:ascii="仿宋" w:hAnsi="仿宋" w:eastAsia="仿宋" w:cs="仿宋"/>
          <w:color w:val="000000"/>
          <w:sz w:val="23"/>
          <w:szCs w:val="23"/>
          <w:lang w:bidi="ar"/>
        </w:rPr>
      </w:pPr>
    </w:p>
    <w:p>
      <w:pPr>
        <w:widowControl/>
        <w:snapToGrid w:val="0"/>
        <w:spacing w:before="156" w:beforeLines="50" w:after="156" w:afterLines="50"/>
        <w:ind w:firstLine="420"/>
        <w:rPr>
          <w:rFonts w:hint="eastAsia" w:ascii="仿宋" w:hAnsi="仿宋" w:eastAsia="仿宋" w:cs="仿宋"/>
          <w:color w:val="000000"/>
          <w:sz w:val="23"/>
          <w:szCs w:val="23"/>
          <w:lang w:bidi="ar"/>
        </w:rPr>
      </w:pPr>
      <w:r>
        <w:rPr>
          <w:rFonts w:hint="eastAsia" w:ascii="仿宋" w:hAnsi="仿宋" w:eastAsia="仿宋" w:cs="仿宋"/>
          <w:color w:val="000000"/>
          <w:sz w:val="23"/>
          <w:szCs w:val="23"/>
          <w:lang w:bidi="ar"/>
        </w:rPr>
        <w:t>保理银行：【具体见附件《国内保理业务申请书》中的保理融资银行信息】（以下简称“乙方”）</w:t>
      </w:r>
    </w:p>
    <w:p>
      <w:pPr>
        <w:widowControl/>
        <w:snapToGrid w:val="0"/>
        <w:spacing w:before="156" w:beforeLines="50" w:after="156" w:afterLines="50"/>
        <w:ind w:firstLine="420"/>
        <w:rPr>
          <w:rFonts w:hint="eastAsia" w:ascii="仿宋" w:hAnsi="仿宋" w:eastAsia="仿宋" w:cs="仿宋"/>
          <w:color w:val="000000"/>
          <w:sz w:val="23"/>
          <w:szCs w:val="23"/>
          <w:u w:val="single"/>
          <w:lang w:bidi="ar"/>
        </w:rPr>
      </w:pPr>
    </w:p>
    <w:p>
      <w:pPr>
        <w:widowControl/>
        <w:snapToGrid w:val="0"/>
        <w:spacing w:before="156" w:beforeLines="50" w:after="156" w:afterLines="50"/>
        <w:ind w:firstLine="420"/>
        <w:rPr>
          <w:rFonts w:hint="eastAsia" w:ascii="仿宋" w:hAnsi="仿宋" w:eastAsia="仿宋" w:cs="仿宋"/>
          <w:color w:val="000000"/>
          <w:sz w:val="23"/>
          <w:szCs w:val="23"/>
          <w:u w:val="single"/>
          <w:lang w:bidi="ar"/>
        </w:rPr>
      </w:pPr>
    </w:p>
    <w:p>
      <w:pPr>
        <w:widowControl/>
        <w:snapToGrid w:val="0"/>
        <w:spacing w:before="156" w:beforeLines="50" w:after="156" w:afterLines="50"/>
        <w:ind w:firstLine="420"/>
        <w:rPr>
          <w:rFonts w:hint="eastAsia" w:ascii="仿宋" w:hAnsi="仿宋" w:eastAsia="仿宋" w:cs="仿宋"/>
          <w:color w:val="000000"/>
          <w:sz w:val="23"/>
          <w:szCs w:val="23"/>
          <w:u w:val="single"/>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甲方以其在相关商务合同项下对债务人，并以乙方认可的最终付款方所开立的“浙江农信应收账款电子凭证平台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的应收账款向乙方申请办理无追索权国内保理业务，乙方按照本合同约定受让该应收账款并向甲方提供保理融资及相关金融服务。为明确责任，恪守信用，根据《中华人民共和国民法典》、《中华人民共和国电子签名法》及有关法律、法规，双方经平等协商一致，签订本合同。</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第一条 合同术语释义</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1.1本合同涉及术语释义如下：</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1.1.1浙江农信应收账款电子凭证平台：浙江农商联合银行运营的网站。</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1.1.2应收账款：指因甲方提供商品、服务或者出租资产而形成的对买方和／或第三方的合法、有效、可转让债权以及其他权利和利益，包括但不限于应收账款本金、利息、违约金，以及担保权利、保险权益等所有主债权和从债权以及与主债权相关的其他权益。</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1.1.3合格应收账款：指甲方按照本合同约定转让给乙方的并符合以下全部条件的应收账款：（1）基于真实、合理、合法的基础交易产生；（2）属甲方合法所有并依法可以转让，未被质押、设定信托或转让给任何第三方，没有任何权利限制及权利瑕疵；（3）甲方已经按照商务合同的约定履行了应收账款对应的发货、提供服务、出租资产等义务；（4）乙方要求的其他条件。乙方仅对满足乙方全部要求的合格应收账款，按本合同约定提供保理融资。</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1.1.4无追索权保理业务：是指甲方将其合法持有的，以乙方认可的最终付款方所开立的浙江农信应收账款电子凭证平台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的合格应收账款转让给乙方，乙方向甲方提供的应收账款管理和保理融资服务。乙方受让的应收账款因买方/最终付款方信用风险不能收回时，除本合同或者相关方另有约定外，乙方对该等保理融资款不向甲方追索。</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1.1.5商务合同：指甲方与买方已经签订的由甲方采用赊销方式向买方提供商品、服务或者出租资产并收取价款的商业交易合同，包括但不限于该合同的当事方在申请日及该日之前达成的有关修订、补充、协议、承诺、附件等，无论其名称如何。商务合同的形式可以是各种载体（包括但不限于书面、传真、电子等形式）的合同、协议、订单或其他能确定权利义务的商业文件。</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1.1.6卖方：指销售商品、提供服务或出租资产的一方，是应收账款的权利人，以附件《国内保理业务申请书》中的甲方信息为准。</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1.1.7买方：指购买商品、接受服务或承租资产的一方，是应收账款的债务人。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1.1.8融资申请人：指本合同项下向乙方转让其对最终付款方享有的，以浙江农信应收账款电子凭证平台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的应收账款债权并向乙方申请保理融资的一方当事人，以附件《国内保理业务申请书》中的甲方信息为准。</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1.1.9最终付款方：指依照浙江农信应收账款电子凭证平台业务规则出具《付款承诺函》,并承诺按照《最终还款明细表》的约定无条件履行付款义务的主体。</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1.1.10浙江农信应收账款电子凭证平台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：是指最终付款方在浙江农信应收账款电子凭证平台上开立的电子《付款承诺函》项下的债权凭证，浙江农信应收账款电子凭证平台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持有方基于真实合法的贸易背景，将其所持浙江农信应收账款电子凭证平台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部分或全部转让给其债权人，作为债权人到期要求最终付款方付款的凭证。</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1.1.11保理融资额度：指本合同项下，在额度有效期内乙方提供保理融资的最高限额。</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1.1.12承诺付款日：指最终付款方按照浙江农信应收账款电子凭证平台的相关业务规则出具的《付款承诺函》中承诺的付款日期。</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1.1.13保理融资到期日：同承诺付款日。</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1.1.14商业纠纷：指商务合同的当事人之间因商务合同项下的事由造成商务合同项下的债务人对商务合同项下的应收账款提出的抗辩、反索、抵销或类似行为，或出现任何第三方对应收账款主张权利的情形。</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1.1.15信用风险：指最终付款方因破产、倒闭、无支付能力或恶意拖欠所导致的拒绝付款、拖延付款或无力偿付应收账款债务，使应收账款债权全部或部分不能得到清偿的风险。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1.1.16双方：指乙方和甲方的统称。</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1.1.17回款专户：指乙方开立的专门用于收取最终付款方支付本合同项下的应收账款款项的账户。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1.2在本合同中，除非本合同上下文另有规定：</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1.2.1本合同未作定义或约定的词语，按相关法律、法规及行业惯例解释；</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1.2.2凡提及本合同应包括本合同及其附件，以及对该合同所作的任何修改、修订或补充的文件；</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1.2.3本合同条款的标题仅为查阅方便而设置，不应构成对本合同的任何解释，不对标题之下的内容及范围作任何限定。</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第二条 保理融资业务方案</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2.1在本合同项下，甲方将其合法持有的，以乙方认可的最终付款方所开立的浙江农信应收账款电子凭证平台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项下的应收账款转让给乙方，乙方向甲方提供无追索权保理业务。</w:t>
      </w:r>
    </w:p>
    <w:p>
      <w:pPr>
        <w:widowControl/>
        <w:snapToGrid w:val="0"/>
        <w:spacing w:before="156" w:beforeLines="50" w:after="156" w:afterLines="50"/>
        <w:ind w:firstLine="420"/>
        <w:jc w:val="left"/>
        <w:rPr>
          <w:rFonts w:hint="eastAsia"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2.2乙方将以</w:t>
      </w:r>
      <w:r>
        <w:rPr>
          <w:rFonts w:hint="eastAsia" w:ascii="仿宋" w:hAnsi="仿宋" w:eastAsia="仿宋" w:cs="仿宋"/>
          <w:color w:val="000000"/>
          <w:kern w:val="0"/>
          <w:sz w:val="23"/>
          <w:szCs w:val="23"/>
          <w:lang w:val="en-US" w:eastAsia="zh-CN" w:bidi="ar"/>
        </w:rPr>
        <w:t>前置</w:t>
      </w:r>
      <w:r>
        <w:rPr>
          <w:rFonts w:hint="eastAsia" w:ascii="仿宋" w:hAnsi="仿宋" w:eastAsia="仿宋" w:cs="仿宋"/>
          <w:color w:val="000000"/>
          <w:kern w:val="0"/>
          <w:sz w:val="23"/>
          <w:szCs w:val="23"/>
          <w:lang w:bidi="ar"/>
        </w:rPr>
        <w:t>收息方式在融资发放后立即一次性收取保理融资利息，并收取银行保理业务交易处理手续费，具体融资利率、手续费率将在甲方审核确认融资申请时弹出的《国内保理业务申请书》中载明。乙方向甲方发放的保理融资款为《国内保理业务申请书》中载明的数额，乙方采用前置收息方式，在融资发放后立即一次性收取保理融资利息，不视为乙方未足额发放保理融资款。</w:t>
      </w:r>
    </w:p>
    <w:p>
      <w:pPr>
        <w:widowControl/>
        <w:snapToGrid w:val="0"/>
        <w:spacing w:before="156" w:beforeLines="50" w:after="156" w:afterLines="50"/>
        <w:ind w:firstLine="420"/>
        <w:jc w:val="left"/>
        <w:rPr>
          <w:rFonts w:hint="eastAsia" w:ascii="仿宋" w:hAnsi="仿宋" w:eastAsia="仿宋" w:cs="仿宋"/>
          <w:color w:val="000000"/>
          <w:kern w:val="0"/>
          <w:sz w:val="23"/>
          <w:szCs w:val="23"/>
          <w:lang w:bidi="ar"/>
        </w:rPr>
      </w:pPr>
      <w:r>
        <w:rPr>
          <w:rFonts w:hint="eastAsia" w:ascii="仿宋" w:hAnsi="仿宋" w:eastAsia="仿宋" w:cs="仿宋"/>
          <w:color w:val="000000"/>
          <w:kern w:val="0"/>
          <w:sz w:val="23"/>
          <w:szCs w:val="23"/>
          <w:lang w:val="en-US" w:eastAsia="zh-CN" w:bidi="ar"/>
        </w:rPr>
        <w:t>2.3甲方知悉</w:t>
      </w:r>
      <w:r>
        <w:rPr>
          <w:rFonts w:hint="eastAsia" w:ascii="仿宋" w:hAnsi="仿宋" w:eastAsia="仿宋" w:cs="仿宋"/>
          <w:color w:val="000000"/>
          <w:kern w:val="0"/>
          <w:sz w:val="23"/>
          <w:szCs w:val="23"/>
          <w:lang w:bidi="ar"/>
        </w:rPr>
        <w:t>并同意</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合同有效期内，若利率相关的法律法规及相关规定调整，或贷款定价自律约定、LPR</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贷款市场报价利率</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等发生调整，导致合同约定的贷款利率水平</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含固定利率、浮动利率等情形</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低于利率政策或自律约定最新允许范围下限</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以下称“最新允许范围下限”</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，则本合同项下的贷款利率</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包括新支用贷款在支用时点的利率和支用后贷款随LPR调整后的利率</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均按不低于最新允许范围下限利率执行</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以下称“执行利率”</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。具体执行利率和执行利率的生效时间以贷款人的通知为准。</w:t>
      </w:r>
    </w:p>
    <w:p>
      <w:pPr>
        <w:widowControl/>
        <w:snapToGrid w:val="0"/>
        <w:spacing w:before="156" w:beforeLines="50" w:after="156" w:afterLines="50"/>
        <w:ind w:firstLine="420"/>
        <w:jc w:val="left"/>
        <w:rPr>
          <w:rFonts w:hint="eastAsia" w:ascii="仿宋" w:hAnsi="仿宋" w:eastAsia="仿宋" w:cs="仿宋"/>
          <w:color w:val="000000"/>
          <w:kern w:val="0"/>
          <w:sz w:val="23"/>
          <w:szCs w:val="23"/>
          <w:lang w:bidi="ar"/>
        </w:rPr>
      </w:pPr>
      <w:r>
        <w:rPr>
          <w:rFonts w:hint="eastAsia" w:ascii="仿宋" w:hAnsi="仿宋" w:eastAsia="仿宋" w:cs="仿宋"/>
          <w:color w:val="000000"/>
          <w:kern w:val="0"/>
          <w:sz w:val="23"/>
          <w:szCs w:val="23"/>
          <w:lang w:val="en-US" w:eastAsia="zh-CN" w:bidi="ar"/>
        </w:rPr>
        <w:t>2.4甲方</w:t>
      </w:r>
      <w:r>
        <w:rPr>
          <w:rFonts w:hint="eastAsia" w:ascii="仿宋" w:hAnsi="仿宋" w:eastAsia="仿宋" w:cs="仿宋"/>
          <w:color w:val="000000"/>
          <w:kern w:val="0"/>
          <w:sz w:val="23"/>
          <w:szCs w:val="23"/>
          <w:lang w:bidi="ar"/>
        </w:rPr>
        <w:t>若不接受上述贷款利率调整，则有权在收到贷款人通知后10个工作日内以书面形式告知贷款人提前终止本合同，并结清贷款业务。有关提前终止合同后的安排按照法律法规、本合同相关约定执行。提前终止本合同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提前还款后尚未归还的借款仍按照上述</w:t>
      </w:r>
      <w:r>
        <w:rPr>
          <w:rFonts w:hint="eastAsia" w:ascii="仿宋" w:hAnsi="仿宋" w:eastAsia="仿宋" w:cs="仿宋"/>
          <w:color w:val="000000"/>
          <w:kern w:val="0"/>
          <w:sz w:val="23"/>
          <w:szCs w:val="23"/>
          <w:lang w:val="en-US" w:eastAsia="zh-CN" w:bidi="ar"/>
        </w:rPr>
        <w:t>2.3</w:t>
      </w:r>
      <w:r>
        <w:rPr>
          <w:rFonts w:hint="eastAsia" w:ascii="仿宋" w:hAnsi="仿宋" w:eastAsia="仿宋" w:cs="仿宋"/>
          <w:color w:val="000000"/>
          <w:kern w:val="0"/>
          <w:sz w:val="23"/>
          <w:szCs w:val="23"/>
          <w:lang w:bidi="ar"/>
        </w:rPr>
        <w:t>约定执行。</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应收账款转让生效后，乙方取得该应收账款项下的债权及其他相关的全部权益，该“应收账款下的债权及其他相关的全部权益”包括但不限于下列权利和利益：</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.1根据商务合同的约定，采取一切法律措施要求最终付款方支付应收账款的权利，包括但不限于根据商务合同提起诉讼或仲裁的权利；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.2由于最终付款方迟延支付应收账款而产生的要求其支付赔偿金、违约金的权利；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.3针对最终付款方未能按期支付应收账款的情形，同意其延期支付，或作出其他让步、放弃、宽限或妥协，或与其达成和解的权利；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.4在最终付款方发生破产、清算、资不抵债或其他类似的情况时，作为应收账款的债权人参加清算或其他类似程序的权利；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.5与应收账款相关的任何担保和保险项下产生的权利或利益；</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6在应收账款项下设定的以保障应收账款为目的而设定的任何预付款、所有权保留、有条件销售、优先权等任何形式的担保性权益以及其他类似安排项下的权益，以及从属于应收账款债权或与之不可分割的其他权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.7对应收账款项下全部或部分权益进行处分，包括但不限于再次转让、在其上设定担保权益；</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2.</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.8与应收账款相关的甲方享有的其他一切权利和利益。</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第三条 甲方陈述、保证和承诺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3.1甲方是依法注册、持有营业执照并合法存续的企业法人，甲方签署本合同及有关文件已获得任何属于必要的批准，不违反其章程和组织文件，不违反对其有约束力的任何法律法规、合同、协议或承诺。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3.2签署和履行本合同是甲方的真实意思表示，并已获得签署本合同所必需的所有同意、批准及授权，不存在任何法律上的瑕疵。</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3.3截至签署本合同之时，甲方不存在任何对其签署或履行本合同可能产生不利影响的司法/行政程序，并且如果此后涉及该等程序的，则其将毫不迟延地通知乙方并将采取一切合理的和必要的措施进行有效补救。</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3.4甲方已经和将要向乙方提供的所有文件、资料、财务报表和凭证等都是真实的、合法的、有效的和完整的，并且其陈述与说明都是善意的和诚实的，不存在重大遗漏、任何欺诈或重大误导。</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3.5甲方授权乙方对其征信情况进行查询，理解并同意《信用报告查询授权书》中所列全部条款。</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3.6甲方将无条件、完全地履行本合同和商务合同项下的全部承诺、保证、义务和责任，并对乙方持有应收账款或行使应收账款项下权益尽最大努力给予积极配合。甲方就应收账款作出如下保证：</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3.6.1甲方确保其转让浙江农商银行系统供链宝平台上浙江农商银行系统应收账款电子债权凭证项下应收账款的行为已经其有权决策机构批准，甲方不会以任何理由提出转让应收账款行为无效、可撤销或效力待定或存在其他瑕疵，且不会以任何理由向最终付款方提出浙江农商银行系统应收账款电子债权凭证项下应收账款转让无效、可撤销或效力待定或存在其他瑕疵而通知最终付款方不履行付款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3.6.2甲方转让给乙方的应收账款债权系在真实、合法有效的交易和债权债务关系基础上产生的唯一、具体、特定和排他的无争议合法债权，应收账款的要素与附件《国内保理业务申请书》所载的应收账款信息一致，应收账款满足合格应收账款的全部要件；</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3.6.3应收账款均产生于正常业务中的真实的交易，货物、服务或资产的提供符合法律法规的规定和商务合同的约定；</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3.6.4应收账款的承诺付款日应以最终付款方出具的《付款承诺函》中记载的日期为准。如该承诺付款日与商务合同中的付款日期不一致，或者商务合同中未明确约定付款日期，应以《付款承诺函》中记载的承诺付款日为准；</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3.6.5应收账款是对最终付款方独立的、完整的、完全排斥第三人的权利或利益要求的权利，此应收账款由甲方拥有，且在该应收账款上未为任何人设定任何形式的担保或其他负担，也不存在任何第三方权益或任何既有的或可能产生的第三方能够提出的任何抵销、反诉、损害补偿、冲销账目、留置或其他减除。如果商务合同中明确约定了甲方应给予商务合同项下的债务人一定金额的佣金或折扣，甲方应另行向该债务人支付，而不得影响本合同项下的应收账款金额；</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3.6.6本合同生效后，应收账款的债权人即变更为乙方，甲方不再对应收账款享有任何权利和利益，甲方不得再对应收账款进行处置、质押或设定其他任何形式的第三方权益，亦不得从最终付款方处收取该应收账款下的任何金额或者取得清偿</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3.6.7在本合同生效时，在应收账款债权项下没有针对甲方提出的或悬而未决的、可能会对甲方构成任何实质性不利影响的诉讼、仲裁或其他潜在的重大纠纷。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3.7甲方就商务合同作出如下保证：</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3.7.1甲方将会向乙方提交真实有效的商务合同及发票、证明商务合同履行的单据等相关资料，商务合同中没有任何禁止或限制应收账款转让的条款，亦没有任何不利于乙方行使应收账款项下权利的条款；</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3.7.2至应收账款转让时，甲方均严格、适当履行了商务合同项下的交货或服务义务及其他全部附随义务，不存在因履行不当而对应收账款产生不利影响的情形；</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3.7.3在签订本合同之前，商务合同当事人之间不存在任何商业纠纷。未来如出现商业纠纷，或发生商务合同项下的债务人支付价款后要求退款、减价、支付违约金、赔偿金等情况，甲方应另行向商务合同项下的债务人支付；乙方不介入任何商业纠纷，也不承担甲方在商务合同项下应承担的任何责任。甲方得知发生商业纠纷的，应在得知商业纠纷发生的当日通知乙方；</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3.7.4除应收账款及相关权利转让给乙方外，甲方将继续严格履行商务合同项下的其他所有义务。</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3.8甲方在此保证其获得的保理融资款仅可用于符合法律法规及监管规定的合法用途。</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3.9未经乙方的书面同意，甲方不得中止、解除或变更商务合同及转让本合同或基于本合同而产生的权利。对于已转让乙方的应收账款债权，未经乙方书面同意，甲方无权进行任何形式的处分，包括担不限于转让、赠与及质押等。</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第四条 乙方的权利和义务</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4.1乙方有权了解甲方、买方/最终付款方的生产经营和财务状况，有权要求甲方提供生产经营和财务方面的资料。乙方有对有关资料保密的义务。</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乙方有权在法律、法规、监管规定、有权机关规定的范围内对甲方提供的信息和乙方查询到的信息进行留存并在内部使用；有权根据法律法规、监管规定、司法机关的强制命令提供甲方提供的信息和乙方查询到的信息；有权为履行本协议之目的，将甲方提供的信息和乙方查询到的信息披露给乙方代理人、合作机构，并取得代理人、合作机构的保密承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4.2乙方应按本合同的约定向甲方发放保理融资款，但因甲方原因造成延迟的除外。</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4.3乙方收到买方和/或最终付款方支付的款项，乙方应主动与甲方进行账务核对。</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4.4应收账款债权转让给乙方后，乙方有权要求买方和/或最终付款方支付已受让的应收账款，直至买方和/或最终付款方按本合同约定履行完付款义务为止。</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4.5买卖双方之间的商务纠纷不能对抗乙方的权利，当产生的商务纠纷对乙方实现权利不利时，或甲方转让给乙方的应收账款不符合本合同中的承诺时，乙方有权宣布本合同提前到期，并要求甲方偿还保理融资款及利息、罚息、复利以及乙方因实现权利而产生的一切合理费用（包括但不限于财产保全费、财产保全担保费、公告费、鉴定费、公证费、诉讼费用及律师代理费等）。</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第五条 保理融资的申请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5.1甲方应通过浙江农信应收账款电子凭证平台申请本合同项下的保理融资，全部申请流程和单据的传递均通过浙江农信应收账款电子凭证平台在线上进行。</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5.2甲方在申请保理融资时应持有乙方认可的由最终付款方按照浙江农信应收账款电子凭证平台业务规则开具的《付款承诺函》及对应的浙江农信应收账款电子凭证平台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，甲方将基于该《付款承诺函》及对应的浙江农信应收账款电子凭证平台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对最终付款方享有应收账款债权。</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5.3保理融资的具体流程如下：</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5.3.1提交申请前，甲方需在浙江农信应收账款电子凭证平台内农村商业银行开立结算账户。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5.3.2甲方向乙方申请保理融资并转让应收账款时，选择其在浙江农信应收账款电子凭证平台内农村商业银行开立的结算账户作为保理融资款项的放款账户。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5.3.3甲方应在线填写保理融资申请，按照浙江农信应收账款电子凭证平台的相关业务规则及指引提交商务合同、增值税发票以及其他证明基础交易履行的单据等相关资料，相关资料均须以彩色扫描/拍照形式上传至浙江农信应收账款电子凭证平台（其中，相关资料的原件可直接上传，相关资料的复印件需加盖甲方公章后上传），确认融资利率、手续费率后，签署本合同及《国内保理业务申请书》，同时提交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、《付款承诺函》，以提起保理业务申请。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5.3.4乙方负责对甲方提交的相关基础交易的相关资料及单据的真实性与合法性、有效性、完整性进行审核，同时乙方对甲方的申请材料、电子签章、工商信息、征信信息等进行审核，若审核不通过，则乙方有权通过浙江农信应收账款电子凭证平台退回融资申请。甲乙双方确认，即使审核通过，亦不代表乙方对甲方提供的申请材料存在的瑕疵（如有）予以豁免，在提供融资后，乙方发现申请材料的真实性与合法性、有效性、完整性等存在瑕疵的，仍视为甲方对本合同的违反，乙方有权按照本合同的约定行使相关权利。</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第六条 应收账款转让及登记约定</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6.1根据本合同的约定，甲方兹此同意向乙方提交《国内保理业务申请书》，即表明甲方同意将《国内保理业务申请书》中列示的应收款项及所对应的浙江农信应收账款电子凭证平台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以及就该部分应收账款及所对应的浙江农信应收账款电子凭证平台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所享有的权利全部转让给乙方，乙方享有甲方原作为该应收账款债权人的所有权利。乙方通过甲方相关资料的审核，接受甲方的保理融资申请，则视为乙方接受《国内保理业务申请书》中列明应收账款债权及对应的《付款承诺函》及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项下相应权利的转让。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6.2乙方接受保理融资申请后，受让甲方的应收账款债权，由浙江农信应收账款电子凭证平台通过短信通知发送至最终付款方，最终付款方可以在浙江农信应收账款电子凭证平台查询《应收账款转让通知》。短信发送完成即视为完成债权转让通知事项。同时，浙江农信应收账款电子凭证平台更新《最终还款明细表》，明确收款人为乙方,收款金额为《付款承诺函》项下转让与乙方的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所对应金额。</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6.3甲方应保证所转让应收账款信息的有效性、真实性、准确性和完整性，没有遗漏任何重要事实，转让给乙方前享有完整和唯一的收款权利，未转让至任何第三方或质押于任何第三方；不存在导致甲方对乙方及相关付款方或基础交易做出错误或不完整的判断的任何欺诈、故意或重大过失等情形。</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6.4乙方有权通过中国人民银行征信中心动产融资统一登记公示系统就甲方向乙方提交的《国内保理业务申请书》中列示的应收款项办理转让登记，且可将本合同及甲方提交的《国内保理业务申请书》作为双方达成的应收账款转让登记协议，将电子版本上传至中国人民银行征信中心动产融资统一登记公示系统。</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6.5在登记内容发生变动、或者登记内容出现遗漏、错误时，甲方应协助乙方办理变更登记。</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6.6甲方如果对乙方登记或变更登记的内容存有异议，应联系乙方；未经乙方书面同意，甲方不得通过中国人民银行征信中心动产融资统一登记公示系统办理异议登记。</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6.7甲方应向乙方提供应收账款转让登记之日的营业执照原件扫描件或加盖甲方公章的复印件扫描件，并保证其向乙方提供的有关资料或信息的真实性和完整性。如甲方在保理业务存续期间，营业执照记载的企业信息发生变更，应在取得新的营业执照之日起五个工作日书面通知乙方，并协助乙方办理变更登记。甲方因提供虚假资料或信息造成乙方或其他第三方损失的，或因甲方未及时告知乙方其相关信息发生变更的事实导致登记失效的，甲方应赔偿乙方的损失，并承担相应的法律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6.8其他未尽事宜，遵照中国人民银行、中国人民银行征信中心的有关规定办理。</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第七条 融资发放</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7.1《国内保理业务申请书》为本合同的组成部分，与本合同具有同等的法律效力。</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7.2本合同项下的融资利率采用单利方法计算，为固定年化利率，具体以乙方出具的《保理凭证》或乙方出具的其他贷款发放凭证中记载内容为准。</w:t>
      </w:r>
    </w:p>
    <w:p>
      <w:pPr>
        <w:widowControl/>
        <w:snapToGrid w:val="0"/>
        <w:spacing w:before="156" w:beforeLines="50" w:after="156" w:afterLines="50"/>
        <w:ind w:firstLine="420"/>
        <w:jc w:val="left"/>
        <w:rPr>
          <w:rFonts w:hint="eastAsia" w:ascii="仿宋" w:hAnsi="仿宋" w:eastAsia="仿宋" w:cs="仿宋"/>
          <w:color w:val="000000"/>
          <w:kern w:val="0"/>
          <w:sz w:val="23"/>
          <w:szCs w:val="23"/>
          <w:lang w:eastAsia="zh-CN" w:bidi="ar"/>
        </w:rPr>
      </w:pPr>
      <w:r>
        <w:rPr>
          <w:rFonts w:hint="eastAsia" w:ascii="仿宋" w:hAnsi="仿宋" w:eastAsia="仿宋" w:cs="仿宋"/>
          <w:color w:val="000000"/>
          <w:kern w:val="0"/>
          <w:sz w:val="23"/>
          <w:szCs w:val="23"/>
          <w:lang w:bidi="ar"/>
        </w:rPr>
        <w:t>利息的计算公式为：利息=保理融资金额×融资期限×年利率/360</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天</w:t>
      </w:r>
      <w:r>
        <w:rPr>
          <w:rFonts w:hint="eastAsia" w:ascii="仿宋" w:hAnsi="仿宋" w:eastAsia="仿宋" w:cs="仿宋"/>
          <w:color w:val="000000"/>
          <w:kern w:val="0"/>
          <w:sz w:val="23"/>
          <w:szCs w:val="23"/>
          <w:lang w:eastAsia="zh-CN" w:bidi="ar"/>
        </w:rPr>
        <w:t>）</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融资期限为保理融资发放日至保理融资到期日。</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7.3本合同项下乙方收取保理业务交易处理手续费（简称“保理业务手续费”）采用固定手续费率，为年化手续费率，费率在甲方审核确认融资申请时弹出的《国内保理业务申请书》中载明。</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银行保理业务手续费的计算公式为：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银行保理业务手续费=保理融资金额×融资期限×保理手续费率/360</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天</w:t>
      </w:r>
      <w:r>
        <w:rPr>
          <w:rFonts w:hint="eastAsia" w:ascii="仿宋" w:hAnsi="仿宋" w:eastAsia="仿宋" w:cs="仿宋"/>
          <w:color w:val="000000"/>
          <w:kern w:val="0"/>
          <w:sz w:val="23"/>
          <w:szCs w:val="23"/>
          <w:lang w:eastAsia="zh-CN" w:bidi="ar"/>
        </w:rPr>
        <w:t>）</w:t>
      </w:r>
      <w:r>
        <w:rPr>
          <w:rFonts w:hint="eastAsia" w:ascii="仿宋" w:hAnsi="仿宋" w:eastAsia="仿宋" w:cs="仿宋"/>
          <w:color w:val="000000"/>
          <w:kern w:val="0"/>
          <w:sz w:val="23"/>
          <w:szCs w:val="23"/>
          <w:lang w:bidi="ar"/>
        </w:rPr>
        <w:t>融资期限为保理融资发放日至保理融资到期日。</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7.4本合同项下的实际融资日、实际融资期限以乙方受理融资申请并发放融资的具体日期为准。</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7.5当甲方满足以下全部条件的情况下，乙方同意发放融资款项：</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7.5.1甲方提交《国内保理业务申请书》，乙方接受该保理融资申请；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7.5.2甲方提交商务合同原件的复印件（如乙方认为必要，应在乙方要求提供时出具原件）；</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7.5.3甲方提供与本合同应收账款项下应收账款相关的专用发票的关键要素，以便于乙方查验发票真伪（如乙方认为必要，应在乙方要求提供时出具原件）；</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7.5.4甲方在本合同项下的所有声明和保证持续有效；</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7.5.5乙方取得与应收账款相关的《付款承诺函》及浙江农信应收账款电子凭证平台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，《付款承诺函》持续有效；</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7.5.6乙方在中国人民银行征信中心动产融资统一登记公示系统已经办妥应收账款转让登记，且登记结果与业务文本内容一致；</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7.5.7甲方和买方/最终付款人届时不存在其无力偿还或支付到期负债或其他危及、损害或可能危及、损害其履行商务合同和/或本合同的能力的情形，包括但不限于停业、歇业、被吊销或撤销其合法存续和/或经营所必需许可或证照、丧失法人资格、申请破产、受理破产申请、被宣告破产、进入清算程序、作为被追究方涉及重大诉讼或仲裁或行政处罚、财务状况恶化等；</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7.5.8甲方和买方和/或最终付款人之间不存在未解决的商业纠纷；</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7.5.9乙方要求的其他条件。</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7.6乙方在审核资料无误后将保理融资款发放至甲方在浙江农信应收账款电子凭证平台内农村商业银行开立的指定账户，并按合同约定收取保理融资利息、手续费等息费。该融资发放账户须为甲方在乙方开立的一般结算账户，放款账户名称须与甲方在工商系统中登记的名称保持一致。具体账户名称及账号以《国内保理业务申请书》上所列明的放款账户信息为准。</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7.7甲方及乙方在此确认，乙方在发放保理融资款项时收取的息费将不以任何形式退还甲方。如果甲方不同意前述保理融资利息、手续费的标准，或者不同意前述支付方式，则甲方应停止向乙方申请保理融资业务。</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7.8如果甲方在乙方的放款账户遭遇法院查封、冻结、扣划，或设立质押等可能导致乙方发放的保理融资款无法正常向甲方发放的，乙方有权暂停对甲方放款并不承担相应的违约责任。如查封、冻结、扣划、质押、挪用等情形发生在乙方已将保理融资款项付至《国内保理业务申请书》中确认的账户后，或上述情形的发生致使已发放的保理融资款无法支付至甲方的，乙方将不承担任何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7.9乙方将于保理融资款项发放当日，将包含保理融资金额、保理融资到期日等信息的《保理凭证》（或其他贷款发放凭证）上传至浙江农信应收账款电子凭证平台，《保理凭证》（或其他贷款发放凭证）为本合同的组成部分，与本合同具有同等的法律效力。如《保理凭证》（或其他贷款发放凭证）与《国内保理业务申请书》确认的业务信息存在一定差异，以《保理凭证》（或其他贷款发放凭证）为准。</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第八条 应收账款的回款管理</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8.1浙江农信应收账款电子凭证平台在承诺付款日前定期向最终付款人发送到期付款的通知，最终付款方最晚在承诺付款日将承诺付款资金支付到《最终还款明细表》中指定的付款账户，乙方在保理融资到期付款日从该账户中扣收相应资金，用于归还甲方在乙方未结清的保理融资。</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8.2本合同项下保理业务产生的任何支付、收入、利润等所应缴税费由相关方依据当时的法律法规规定各自承担。</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第九条 应收账款回购条件、方式及程序</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9.1由于甲方的虚假陈述或保证而对本合同项下应收账款的偿还产生不利影响的，甲方应按照乙方通知进行应收账款回购。</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9.2除本合同第9.1款规定外，对符合下列条件的无追索权保理业务，甲方应按照乙方通知进行应收账款回购：（1）因产生商业纠纷或产生除信用风险之外的其他风险，致使最终付款人对本合同项下应收账款的偿还提出异议，进而拒付、少付或者在承诺付款日仍未付款的；（2）本合同签订后，乙方发现甲方及/或被用以办理无追索权保理业务的应收账款不符合本合同约定的条件；（3）出现因甲方在商务合同项下欺诈等原因，债务人申请法院签发止付裁定或出现其他可能阻止付款的司法或行政行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9.3甲方接到乙方要求其回购应收账款的书面通知后3个工作日内，应按照乙方通知要求对未收回的应收账款进行回购，即：甲方需按照乙方指示的付款路径将相等于未收回的应收账款金额的保理融资资金退还给乙方。为避免歧义，双方在此确认，乙方已收取的利息、手续费等相关息费不再退还。</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第十条 违约及违约责任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10.1本合同任何一方违反本合同的约定,视为该方违约,违约方应当依法或依本合同的约定承担相应的违约责任。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10.2下述任一事项均构成甲方的违约：</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10.2.1甲方未履行本合同项下义务或违背其在本合同项下所作的陈述、保证或承诺；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10.2.2甲方利用虚假合同，以无实际贸易背景的应收票据、应收账款等债权办理保理业务，套取乙方资金。</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10.3发生上述任一违约事件，乙方有权采取下列一项或多项措施：</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10.3.1要求甲方限期纠正违约行为；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10.3.2停止对甲方办理保理业务；</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10.3.3要求甲方按照本合同的约定立即对尚未收回的应收账款进行回购；甲方未按期足额支付回购价款的，应按照应付未付回购价款的年利率18%支付资金占用费；</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10.3.4要求甲方赔偿相应损失；</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10.3.5相关法律法规规定、本合同约定或乙方认为必要的其他措施。</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10.4本合同项下利率、费用的计算公式为：月利率=年利率÷12；日利率=年利率÷360。</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第十一条 适用法律和争议的解决</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11.1本合同适用中华人民共和国法律。</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11.2在合同履行期间，凡由本合同引起的或与本合同有关的一切争议、纠纷，当事人应首先协商解决；协商不成，任何一方可向乙方所在地有管辖权的人民法院起诉。</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第十二条 转让</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12.1未经乙方的事先书面同意，甲方不得将其在本合同项下的任何权利和义务转让给第三人。</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12.2乙方可以将本合同项下权利全部或部分转让给第三人。</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第十三条 不可抗力</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13.1不可抗力指所有本合同生效后发生的,阻碍本合同一方履行其全部或部分义务的、本合同一方无法控制、不可预见、不可避免或不可克服的事件，包括地震、台风、水灾、火灾、战争等。</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13.2宣称发生不可抗力的一方应立即书面通知另一方,并在通知后10天内提供此种不可抗力发生及其持续时间的足够证据和不能履行或部分不能履行本合同义务的理由。宣称发生不可抗力的一方应尽一切合理的努力尽量减轻这种不可抗力所带来的影响。</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13.3发生不可抗力时,双方应立即协商寻求公平的解决办法并应尽一切合理的努力尽量减轻不可抗力带来的后果。由于不可抗力致使一方不能部分或全部履行本合同义务的,可以部分或全部免除其违约责任。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13.4由于不可抗力或者政府行为、电信部门技术调整或电信设备故障、网站升级或系统维护等，致使乙方中断或延迟提供保理融资业务的，乙方不对甲方承担任何责任。</w:t>
      </w:r>
    </w:p>
    <w:p>
      <w:pPr>
        <w:widowControl/>
        <w:snapToGrid w:val="0"/>
        <w:spacing w:before="156" w:beforeLines="50" w:after="156" w:afterLines="50"/>
        <w:jc w:val="center"/>
        <w:rPr>
          <w:rFonts w:ascii="仿宋" w:hAnsi="仿宋" w:eastAsia="仿宋" w:cs="仿宋"/>
          <w:b/>
          <w:bCs/>
          <w:color w:val="000000"/>
          <w:kern w:val="0"/>
          <w:sz w:val="23"/>
          <w:szCs w:val="23"/>
          <w:lang w:bidi="ar"/>
        </w:rPr>
      </w:pPr>
      <w:r>
        <w:rPr>
          <w:rFonts w:hint="eastAsia" w:ascii="仿宋" w:hAnsi="仿宋" w:eastAsia="仿宋" w:cs="仿宋"/>
          <w:b/>
          <w:bCs/>
          <w:color w:val="000000"/>
          <w:kern w:val="0"/>
          <w:sz w:val="23"/>
          <w:szCs w:val="23"/>
          <w:lang w:bidi="ar"/>
        </w:rPr>
        <w:t>第十四条 其他</w:t>
      </w:r>
    </w:p>
    <w:p>
      <w:pPr>
        <w:widowControl/>
        <w:snapToGrid w:val="0"/>
        <w:spacing w:before="156" w:beforeLines="50" w:after="156" w:afterLines="50"/>
        <w:ind w:firstLine="420"/>
        <w:jc w:val="left"/>
        <w:rPr>
          <w:rFonts w:hint="eastAsia"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14.1本合同采用数据电文形式，用户号、登录密码、数字证书等是各方进入浙江农信应收账款电子凭证平台系统办理业务时确认身份的要素。对所有使用用户号、登录密码、数字证书等进行的操作均视为相关方的行为，由此产生的电子信息记录均作为相关方承担权利义务的有效证据。因相关方未尽妥善保管用户信息之义务，对其他方造成损失的，须承担赔偿责任。</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w:t>
      </w:r>
      <w:r>
        <w:rPr>
          <w:rFonts w:hint="eastAsia" w:ascii="仿宋" w:hAnsi="仿宋" w:eastAsia="仿宋" w:cs="仿宋"/>
          <w:color w:val="000000"/>
          <w:kern w:val="0"/>
          <w:sz w:val="23"/>
          <w:szCs w:val="23"/>
          <w:lang w:val="en-US" w:eastAsia="zh-CN" w:bidi="ar"/>
        </w:rPr>
        <w:t>2</w:t>
      </w:r>
      <w:r>
        <w:rPr>
          <w:rFonts w:hint="eastAsia" w:ascii="仿宋" w:hAnsi="仿宋" w:eastAsia="仿宋" w:cs="仿宋"/>
          <w:color w:val="000000"/>
          <w:kern w:val="0"/>
          <w:sz w:val="23"/>
          <w:szCs w:val="23"/>
          <w:lang w:bidi="ar"/>
        </w:rPr>
        <w:t>本合同由甲方在本合同首页加盖经电子签章（以下简称电子签章）后，与相关附件一同通过浙江农信应收账款电子凭证平台推送至乙方。乙方接受甲方的融资申请，本合同即告生效，对双方具有法律约束力。本合同对本合同双方的继承人、接管人、受让人及其合并、改组、更改名称等后的主体具有约束力。</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w:t>
      </w:r>
      <w:r>
        <w:rPr>
          <w:rFonts w:hint="eastAsia" w:ascii="仿宋" w:hAnsi="仿宋" w:eastAsia="仿宋" w:cs="仿宋"/>
          <w:color w:val="000000"/>
          <w:kern w:val="0"/>
          <w:sz w:val="23"/>
          <w:szCs w:val="23"/>
          <w:lang w:val="en-US" w:eastAsia="zh-CN" w:bidi="ar"/>
        </w:rPr>
        <w:t>3</w:t>
      </w:r>
      <w:r>
        <w:rPr>
          <w:rFonts w:hint="eastAsia" w:ascii="仿宋" w:hAnsi="仿宋" w:eastAsia="仿宋" w:cs="仿宋"/>
          <w:color w:val="000000"/>
          <w:kern w:val="0"/>
          <w:sz w:val="23"/>
          <w:szCs w:val="23"/>
          <w:lang w:bidi="ar"/>
        </w:rPr>
        <w:t>本合同保存在浙江农信应收账款电子凭证平台指定位置，双方认可该形式的合同效力及本合同内容，双方确认浙江农信应收账款电子凭证平台保管的书面文件和电子信息作为本合同有关事项的终局证明，双方可通过浙江农信应收账款电子凭证平台在线下载获得。</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w:t>
      </w:r>
      <w:r>
        <w:rPr>
          <w:rFonts w:hint="eastAsia" w:ascii="仿宋" w:hAnsi="仿宋" w:eastAsia="仿宋" w:cs="仿宋"/>
          <w:color w:val="000000"/>
          <w:kern w:val="0"/>
          <w:sz w:val="23"/>
          <w:szCs w:val="23"/>
          <w:lang w:val="en-US" w:eastAsia="zh-CN" w:bidi="ar"/>
        </w:rPr>
        <w:t>4</w:t>
      </w:r>
      <w:r>
        <w:rPr>
          <w:rFonts w:hint="eastAsia" w:ascii="仿宋" w:hAnsi="仿宋" w:eastAsia="仿宋" w:cs="仿宋"/>
          <w:color w:val="000000"/>
          <w:kern w:val="0"/>
          <w:sz w:val="23"/>
          <w:szCs w:val="23"/>
          <w:lang w:bidi="ar"/>
        </w:rPr>
        <w:t>双方对通过浙江农信应收账款电子凭证平台系统可查阅知晓的相关信息（包括但不限于各类业务信息和用户信息等），应承担必须的、谨慎的保密义务；除非获得合法授权，不得将相关信息透露给其他任何第三方。</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w:t>
      </w:r>
      <w:r>
        <w:rPr>
          <w:rFonts w:hint="eastAsia" w:ascii="仿宋" w:hAnsi="仿宋" w:eastAsia="仿宋" w:cs="仿宋"/>
          <w:color w:val="000000"/>
          <w:kern w:val="0"/>
          <w:sz w:val="23"/>
          <w:szCs w:val="23"/>
          <w:lang w:val="en-US" w:eastAsia="zh-CN" w:bidi="ar"/>
        </w:rPr>
        <w:t>5</w:t>
      </w:r>
      <w:r>
        <w:rPr>
          <w:rFonts w:hint="eastAsia" w:ascii="仿宋" w:hAnsi="仿宋" w:eastAsia="仿宋" w:cs="仿宋"/>
          <w:color w:val="000000"/>
          <w:kern w:val="0"/>
          <w:sz w:val="23"/>
          <w:szCs w:val="23"/>
          <w:lang w:bidi="ar"/>
        </w:rPr>
        <w:t>本合同一方未行使或延迟行使本合同项下的任何权利或决定权，不应被视为该方对该等权利或决定权的放弃。本合同约定的各项权利和救济措施是累积的，并不排除法律规定的任何其他权利和补救措施。</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w:t>
      </w:r>
      <w:r>
        <w:rPr>
          <w:rFonts w:hint="eastAsia" w:ascii="仿宋" w:hAnsi="仿宋" w:eastAsia="仿宋" w:cs="仿宋"/>
          <w:color w:val="000000"/>
          <w:kern w:val="0"/>
          <w:sz w:val="23"/>
          <w:szCs w:val="23"/>
          <w:lang w:val="en-US" w:eastAsia="zh-CN" w:bidi="ar"/>
        </w:rPr>
        <w:t>6</w:t>
      </w:r>
      <w:r>
        <w:rPr>
          <w:rFonts w:hint="eastAsia" w:ascii="仿宋" w:hAnsi="仿宋" w:eastAsia="仿宋" w:cs="仿宋"/>
          <w:color w:val="000000"/>
          <w:kern w:val="0"/>
          <w:sz w:val="23"/>
          <w:szCs w:val="23"/>
          <w:lang w:bidi="ar"/>
        </w:rPr>
        <w:t>本合同中的任何条款无论因何种原因完全或部分无效或不具有执行力，本合同的其余条款仍应有效并且有约束力。</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14.</w:t>
      </w:r>
      <w:r>
        <w:rPr>
          <w:rFonts w:hint="eastAsia" w:ascii="仿宋" w:hAnsi="仿宋" w:eastAsia="仿宋" w:cs="仿宋"/>
          <w:color w:val="000000"/>
          <w:kern w:val="0"/>
          <w:sz w:val="23"/>
          <w:szCs w:val="23"/>
          <w:lang w:val="en-US" w:eastAsia="zh-CN" w:bidi="ar"/>
        </w:rPr>
        <w:t>7</w:t>
      </w:r>
      <w:r>
        <w:rPr>
          <w:rFonts w:hint="eastAsia" w:ascii="仿宋" w:hAnsi="仿宋" w:eastAsia="仿宋" w:cs="仿宋"/>
          <w:color w:val="000000"/>
          <w:kern w:val="0"/>
          <w:sz w:val="23"/>
          <w:szCs w:val="23"/>
          <w:lang w:bidi="ar"/>
        </w:rPr>
        <w:t>本合同的附件为本合同不可分割的组成部分，与本合同正文具有同等法律效力。</w:t>
      </w:r>
    </w:p>
    <w:p>
      <w:pPr>
        <w:widowControl/>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br w:type="page"/>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（本页为合同签署页）</w:t>
      </w:r>
    </w:p>
    <w:p>
      <w:pPr>
        <w:widowControl/>
        <w:snapToGrid w:val="0"/>
        <w:spacing w:before="156" w:beforeLines="50" w:after="156" w:afterLines="50"/>
        <w:ind w:firstLine="420"/>
        <w:jc w:val="left"/>
        <w:rPr>
          <w:rFonts w:hint="default" w:ascii="仿宋" w:hAnsi="仿宋" w:eastAsia="仿宋" w:cs="仿宋"/>
          <w:color w:val="000000"/>
          <w:kern w:val="0"/>
          <w:sz w:val="23"/>
          <w:szCs w:val="23"/>
          <w:lang w:val="en-US" w:eastAsia="zh-CN" w:bidi="ar"/>
        </w:rPr>
      </w:pPr>
      <w:r>
        <w:rPr>
          <w:rFonts w:hint="eastAsia" w:ascii="仿宋" w:hAnsi="仿宋" w:eastAsia="仿宋" w:cs="仿宋"/>
          <w:color w:val="000000"/>
          <w:kern w:val="0"/>
          <w:sz w:val="23"/>
          <w:szCs w:val="23"/>
          <w:lang w:bidi="ar"/>
        </w:rPr>
        <w:t>甲方（公章）：</w:t>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法定代表人（签章）：</w:t>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地址：</w:t>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乙方（公章）：</w:t>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法定代表人（签章）：</w:t>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r>
        <w:rPr>
          <w:rFonts w:hint="eastAsia" w:ascii="仿宋" w:hAnsi="仿宋" w:eastAsia="仿宋" w:cs="仿宋"/>
          <w:color w:val="000000"/>
          <w:kern w:val="0"/>
          <w:sz w:val="23"/>
          <w:szCs w:val="23"/>
          <w:u w:val="single"/>
          <w:lang w:val="en-US" w:eastAsia="zh-CN" w:bidi="ar"/>
        </w:rPr>
        <w:tab/>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地址：</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br w:type="page"/>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附件1：国内保理业务申请书</w:t>
      </w:r>
    </w:p>
    <w:p>
      <w:pPr>
        <w:widowControl/>
        <w:snapToGrid w:val="0"/>
        <w:spacing w:before="156" w:beforeLines="50" w:after="156" w:afterLines="50"/>
        <w:jc w:val="center"/>
        <w:rPr>
          <w:rFonts w:ascii="仿宋" w:hAnsi="仿宋" w:eastAsia="仿宋" w:cs="仿宋"/>
          <w:b/>
          <w:bCs/>
          <w:color w:val="000000"/>
          <w:kern w:val="0"/>
          <w:sz w:val="36"/>
          <w:szCs w:val="36"/>
          <w:lang w:bidi="ar"/>
        </w:rPr>
      </w:pPr>
      <w:r>
        <w:rPr>
          <w:rFonts w:hint="eastAsia" w:ascii="仿宋" w:hAnsi="仿宋" w:eastAsia="仿宋" w:cs="仿宋"/>
          <w:b/>
          <w:bCs/>
          <w:color w:val="000000"/>
          <w:kern w:val="0"/>
          <w:sz w:val="36"/>
          <w:szCs w:val="36"/>
          <w:lang w:bidi="ar"/>
        </w:rPr>
        <w:t>国内保理业务申请书</w:t>
      </w: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融资申请编号：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095"/>
        <w:gridCol w:w="2096"/>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（一）申请方（甲方）资料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申请方全称</w:t>
            </w:r>
          </w:p>
        </w:tc>
        <w:tc>
          <w:tcPr>
            <w:tcW w:w="6287" w:type="dxa"/>
            <w:gridSpan w:val="3"/>
          </w:tcPr>
          <w:p>
            <w:pPr>
              <w:widowControl/>
              <w:snapToGrid w:val="0"/>
              <w:spacing w:before="156" w:beforeLines="50" w:after="156" w:afterLines="50"/>
              <w:jc w:val="left"/>
              <w:rPr>
                <w:rFonts w:hint="default" w:ascii="仿宋" w:hAnsi="仿宋" w:eastAsia="仿宋" w:cs="仿宋"/>
                <w:color w:val="000000"/>
                <w:kern w:val="0"/>
                <w:sz w:val="23"/>
                <w:szCs w:val="23"/>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统一社会信用代码</w:t>
            </w:r>
          </w:p>
        </w:tc>
        <w:tc>
          <w:tcPr>
            <w:tcW w:w="6287" w:type="dxa"/>
            <w:gridSpan w:val="3"/>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（二）业务申请信息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浙江农信应收账款电子凭证平台</w:t>
            </w:r>
            <w:r>
              <w:rPr>
                <w:rFonts w:hint="eastAsia" w:ascii="仿宋" w:hAnsi="仿宋" w:eastAsia="仿宋" w:cs="仿宋"/>
                <w:color w:val="000000"/>
                <w:kern w:val="0"/>
                <w:sz w:val="23"/>
                <w:szCs w:val="23"/>
                <w:lang w:eastAsia="zh-CN" w:bidi="ar"/>
              </w:rPr>
              <w:t>应收账款电子凭证</w:t>
            </w:r>
            <w:r>
              <w:rPr>
                <w:rFonts w:hint="eastAsia" w:ascii="仿宋" w:hAnsi="仿宋" w:eastAsia="仿宋" w:cs="仿宋"/>
                <w:color w:val="000000"/>
                <w:kern w:val="0"/>
                <w:sz w:val="23"/>
                <w:szCs w:val="23"/>
                <w:lang w:bidi="ar"/>
              </w:rPr>
              <w:t>编码：</w:t>
            </w:r>
          </w:p>
        </w:tc>
        <w:tc>
          <w:tcPr>
            <w:tcW w:w="6287" w:type="dxa"/>
            <w:gridSpan w:val="3"/>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保理融资金额：（默认人民币，元）</w:t>
            </w:r>
          </w:p>
        </w:tc>
        <w:tc>
          <w:tcPr>
            <w:tcW w:w="2095" w:type="dxa"/>
          </w:tcPr>
          <w:p>
            <w:pPr>
              <w:widowControl/>
              <w:snapToGrid w:val="0"/>
              <w:spacing w:before="156" w:beforeLines="50" w:after="156" w:afterLines="50"/>
              <w:jc w:val="left"/>
              <w:rPr>
                <w:rFonts w:ascii="仿宋" w:hAnsi="仿宋" w:eastAsia="仿宋" w:cs="仿宋"/>
                <w:color w:val="000000"/>
                <w:kern w:val="0"/>
                <w:sz w:val="23"/>
                <w:szCs w:val="23"/>
                <w:lang w:bidi="ar"/>
              </w:rPr>
            </w:pPr>
          </w:p>
        </w:tc>
        <w:tc>
          <w:tcPr>
            <w:tcW w:w="2096"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保理融资银行：</w:t>
            </w:r>
          </w:p>
        </w:tc>
        <w:tc>
          <w:tcPr>
            <w:tcW w:w="2096" w:type="dxa"/>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保理融资到期日：</w:t>
            </w:r>
          </w:p>
        </w:tc>
        <w:tc>
          <w:tcPr>
            <w:tcW w:w="2095" w:type="dxa"/>
          </w:tcPr>
          <w:p>
            <w:pPr>
              <w:widowControl/>
              <w:snapToGrid w:val="0"/>
              <w:spacing w:before="156" w:beforeLines="50" w:after="156" w:afterLines="50"/>
              <w:jc w:val="left"/>
              <w:rPr>
                <w:rFonts w:ascii="仿宋" w:hAnsi="仿宋" w:eastAsia="仿宋" w:cs="仿宋"/>
                <w:color w:val="000000"/>
                <w:kern w:val="0"/>
                <w:sz w:val="23"/>
                <w:szCs w:val="23"/>
                <w:lang w:bidi="ar"/>
              </w:rPr>
            </w:pPr>
          </w:p>
        </w:tc>
        <w:tc>
          <w:tcPr>
            <w:tcW w:w="2096"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保理融资利率（年化）：</w:t>
            </w:r>
          </w:p>
        </w:tc>
        <w:tc>
          <w:tcPr>
            <w:tcW w:w="2096" w:type="dxa"/>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保理手续费率（年化）：</w:t>
            </w:r>
          </w:p>
        </w:tc>
        <w:tc>
          <w:tcPr>
            <w:tcW w:w="6287" w:type="dxa"/>
            <w:gridSpan w:val="3"/>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放款账户户名：</w:t>
            </w:r>
          </w:p>
        </w:tc>
        <w:tc>
          <w:tcPr>
            <w:tcW w:w="6287" w:type="dxa"/>
            <w:gridSpan w:val="3"/>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放款账户账号：</w:t>
            </w:r>
          </w:p>
        </w:tc>
        <w:tc>
          <w:tcPr>
            <w:tcW w:w="6287" w:type="dxa"/>
            <w:gridSpan w:val="3"/>
          </w:tcPr>
          <w:p>
            <w:pPr>
              <w:widowControl/>
              <w:snapToGrid w:val="0"/>
              <w:spacing w:before="156" w:beforeLines="50" w:after="156" w:afterLines="50"/>
              <w:jc w:val="left"/>
              <w:rPr>
                <w:rFonts w:ascii="仿宋" w:hAnsi="仿宋" w:eastAsia="仿宋" w:cs="仿宋"/>
                <w:color w:val="000000"/>
                <w:kern w:val="0"/>
                <w:sz w:val="23"/>
                <w:szCs w:val="23"/>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pPr>
              <w:widowControl/>
              <w:snapToGrid w:val="0"/>
              <w:spacing w:before="156" w:beforeLines="50" w:after="156" w:afterLines="50"/>
              <w:jc w:val="left"/>
              <w:rPr>
                <w:rFonts w:ascii="仿宋" w:hAnsi="仿宋" w:eastAsia="仿宋" w:cs="仿宋"/>
                <w:color w:val="000000"/>
                <w:kern w:val="0"/>
                <w:sz w:val="23"/>
                <w:szCs w:val="23"/>
                <w:lang w:bidi="ar"/>
              </w:rPr>
            </w:pPr>
            <w:r>
              <w:rPr>
                <w:rFonts w:hint="eastAsia" w:ascii="仿宋" w:hAnsi="仿宋" w:eastAsia="仿宋" w:cs="仿宋"/>
                <w:color w:val="000000"/>
                <w:kern w:val="0"/>
                <w:sz w:val="23"/>
                <w:szCs w:val="23"/>
                <w:lang w:bidi="ar"/>
              </w:rPr>
              <w:t>放款账户开户行：</w:t>
            </w:r>
          </w:p>
        </w:tc>
        <w:tc>
          <w:tcPr>
            <w:tcW w:w="6287" w:type="dxa"/>
            <w:gridSpan w:val="3"/>
          </w:tcPr>
          <w:p>
            <w:pPr>
              <w:widowControl/>
              <w:snapToGrid w:val="0"/>
              <w:spacing w:before="156" w:beforeLines="50" w:after="156" w:afterLines="50"/>
              <w:jc w:val="left"/>
              <w:rPr>
                <w:rFonts w:ascii="仿宋" w:hAnsi="仿宋" w:eastAsia="仿宋" w:cs="仿宋"/>
                <w:color w:val="000000"/>
                <w:kern w:val="0"/>
                <w:sz w:val="23"/>
                <w:szCs w:val="23"/>
                <w:lang w:bidi="ar"/>
              </w:rPr>
            </w:pPr>
          </w:p>
        </w:tc>
      </w:tr>
    </w:tbl>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p>
      <w:pPr>
        <w:widowControl/>
        <w:snapToGrid w:val="0"/>
        <w:spacing w:before="156" w:beforeLines="50" w:after="156" w:afterLines="50"/>
        <w:ind w:firstLine="420"/>
        <w:jc w:val="left"/>
        <w:rPr>
          <w:rFonts w:ascii="仿宋" w:hAnsi="仿宋" w:eastAsia="仿宋" w:cs="仿宋"/>
          <w:color w:val="000000"/>
          <w:kern w:val="0"/>
          <w:sz w:val="23"/>
          <w:szCs w:val="23"/>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D0"/>
    <w:rsid w:val="00324A11"/>
    <w:rsid w:val="00330B8B"/>
    <w:rsid w:val="00362602"/>
    <w:rsid w:val="00396323"/>
    <w:rsid w:val="003F7600"/>
    <w:rsid w:val="00497700"/>
    <w:rsid w:val="004B6421"/>
    <w:rsid w:val="004C534D"/>
    <w:rsid w:val="005F1CA1"/>
    <w:rsid w:val="00641F9F"/>
    <w:rsid w:val="006D7DB5"/>
    <w:rsid w:val="008A4C2A"/>
    <w:rsid w:val="0097758D"/>
    <w:rsid w:val="009D0FD0"/>
    <w:rsid w:val="00B0078C"/>
    <w:rsid w:val="00B43EE0"/>
    <w:rsid w:val="00BD122C"/>
    <w:rsid w:val="00C44500"/>
    <w:rsid w:val="00CA5506"/>
    <w:rsid w:val="00CD3FB9"/>
    <w:rsid w:val="00CF6CD7"/>
    <w:rsid w:val="00D860FC"/>
    <w:rsid w:val="045C7CE7"/>
    <w:rsid w:val="1F9453E6"/>
    <w:rsid w:val="2695183A"/>
    <w:rsid w:val="28DB7FD7"/>
    <w:rsid w:val="353173CB"/>
    <w:rsid w:val="3DD41CCF"/>
    <w:rsid w:val="3F9E1420"/>
    <w:rsid w:val="4B2A3AE5"/>
    <w:rsid w:val="58F46427"/>
    <w:rsid w:val="611F19F3"/>
    <w:rsid w:val="64347BE7"/>
    <w:rsid w:val="712836E6"/>
    <w:rsid w:val="75104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annotation subject"/>
    <w:basedOn w:val="2"/>
    <w:next w:val="2"/>
    <w:link w:val="11"/>
    <w:qFormat/>
    <w:uiPriority w:val="0"/>
    <w:rPr>
      <w:b/>
      <w:bCs/>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qFormat/>
    <w:uiPriority w:val="0"/>
    <w:rPr>
      <w:sz w:val="21"/>
      <w:szCs w:val="21"/>
    </w:rPr>
  </w:style>
  <w:style w:type="paragraph" w:customStyle="1" w:styleId="8">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9">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
    <w:name w:val="批注文字 字符"/>
    <w:basedOn w:val="6"/>
    <w:link w:val="2"/>
    <w:qFormat/>
    <w:uiPriority w:val="0"/>
    <w:rPr>
      <w:rFonts w:asciiTheme="minorHAnsi" w:hAnsiTheme="minorHAnsi" w:eastAsiaTheme="minorEastAsia" w:cstheme="minorBidi"/>
      <w:kern w:val="2"/>
      <w:sz w:val="21"/>
      <w:szCs w:val="24"/>
    </w:rPr>
  </w:style>
  <w:style w:type="character" w:customStyle="1" w:styleId="11">
    <w:name w:val="批注主题 字符"/>
    <w:basedOn w:val="10"/>
    <w:link w:val="3"/>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11807</Words>
  <Characters>12242</Characters>
  <Lines>83</Lines>
  <Paragraphs>23</Paragraphs>
  <TotalTime>1</TotalTime>
  <ScaleCrop>false</ScaleCrop>
  <LinksUpToDate>false</LinksUpToDate>
  <CharactersWithSpaces>12319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2025-08-26T16:28:00Z</dcterms:created>
  <dc:creator>Wu Yin</dc:creator>
  <cp:lastModifiedBy>admin</cp:lastModifiedBy>
  <dcterms:modified xsi:type="dcterms:W3CDTF">2025-11-28T07:00:59Z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KSOTemplateDocerSaveRecord">
    <vt:lpwstr>eyJoZGlkIjoiZDlmNzNiODA3YzA1ZjVlNjFlOGRiNzNlZmRkNjlkMGIiLCJ1c2VySWQiOiIzMDY4ODU3MjQifQ==</vt:lpwstr>
  </property>
  <property fmtid="{D5CDD505-2E9C-101B-9397-08002B2CF9AE}" pid="4" name="ICV">
    <vt:lpwstr>8A7E9EE930589A39BB04D268A9F4EECC</vt:lpwstr>
  </property>
</Properties>
</file>