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黑体" w:hAnsi="宋体" w:eastAsia="黑体"/>
          <w:b/>
          <w:bCs/>
          <w:color w:val="000000"/>
          <w:sz w:val="48"/>
          <w:szCs w:val="48"/>
        </w:rPr>
        <w:t>德清农商银行丰收喜悦月月赢</w:t>
      </w:r>
      <w:r>
        <w:rPr>
          <w:rFonts w:hint="eastAsia" w:ascii="黑体" w:hAnsi="宋体" w:eastAsia="黑体"/>
          <w:b/>
          <w:bCs/>
          <w:color w:val="000000"/>
          <w:sz w:val="48"/>
          <w:szCs w:val="48"/>
          <w:lang w:val="en-US" w:eastAsia="zh-CN"/>
        </w:rPr>
        <w:t>2</w:t>
      </w:r>
      <w:r>
        <w:rPr>
          <w:rFonts w:hint="eastAsia" w:ascii="黑体" w:hAnsi="宋体" w:eastAsia="黑体"/>
          <w:b/>
          <w:bCs/>
          <w:color w:val="000000"/>
          <w:sz w:val="48"/>
          <w:szCs w:val="48"/>
        </w:rPr>
        <w:t>号28天定开净值型理财产品</w:t>
      </w:r>
    </w:p>
    <w:p>
      <w:pPr>
        <w:jc w:val="center"/>
        <w:rPr>
          <w:rFonts w:ascii="宋体" w:hAnsi="宋体"/>
          <w:b/>
          <w:bCs/>
          <w:sz w:val="48"/>
          <w:szCs w:val="30"/>
        </w:rPr>
      </w:pPr>
      <w:r>
        <w:rPr>
          <w:rFonts w:ascii="宋体" w:hAnsi="宋体"/>
          <w:b/>
          <w:bCs/>
          <w:sz w:val="48"/>
          <w:szCs w:val="30"/>
        </w:rPr>
        <w:t>2024年半年度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浙江德清农村商业银行股份有限公司“丰收喜悦”月月赢2号28天定期开放式净值型理财产品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2031-10-14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18,070,000.00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w:t>
            </w:r>
            <w:r>
              <w:rPr>
                <w:rFonts w:hint="eastAsia" w:ascii="宋体" w:hAnsi="宋体"/>
                <w:lang w:val="en-US" w:eastAsia="zh-CN"/>
              </w:rPr>
              <w:t>1.8</w:t>
            </w:r>
            <w:r>
              <w:rPr>
                <w:rFonts w:ascii="宋体" w:hAnsi="宋体"/>
              </w:rPr>
              <w:t>%-3.</w:t>
            </w:r>
            <w:r>
              <w:rPr>
                <w:rFonts w:hint="eastAsia" w:ascii="宋体" w:hAnsi="宋体"/>
                <w:lang w:val="en-US" w:eastAsia="zh-CN"/>
              </w:rPr>
              <w:t>0</w:t>
            </w:r>
            <w:r>
              <w:rPr>
                <w:rFonts w:ascii="宋体" w:hAnsi="宋体"/>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ascii="宋体" w:hAnsi="宋体"/>
              </w:rPr>
            </w:pPr>
            <w:r>
              <w:rPr>
                <w:rFonts w:hint="eastAsia"/>
                <w:lang w:val="en-US" w:eastAsia="zh-CN"/>
              </w:rPr>
              <w:t>100.09%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ascii="宋体" w:hAnsi="宋体"/>
              </w:rPr>
            </w:pPr>
            <w:r>
              <w:rPr>
                <w:rFonts w:hint="eastAsia"/>
                <w:lang w:val="en-US"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ascii="宋体" w:hAnsi="宋体"/>
              </w:rPr>
            </w:pPr>
            <w:r>
              <w:rPr>
                <w:rFonts w:hint="eastAsia"/>
                <w:lang w:val="en-US"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2024-06-30</w:t>
            </w:r>
            <w:r>
              <w:rPr>
                <w:rFonts w:hint="eastAsia" w:ascii="宋体" w:hAnsi="宋体"/>
              </w:rPr>
              <w:t>）</w:t>
            </w:r>
          </w:p>
        </w:tc>
        <w:tc>
          <w:tcPr>
            <w:tcW w:w="5103" w:type="dxa"/>
            <w:vAlign w:val="center"/>
          </w:tcPr>
          <w:p>
            <w:pPr>
              <w:jc w:val="right"/>
            </w:pPr>
            <w: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7.64</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263,828.16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237,587.16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18,085,093.17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1.0008</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6,914,166.27</w:t>
            </w:r>
          </w:p>
        </w:tc>
        <w:tc>
          <w:tcPr>
            <w:tcW w:w="1705" w:type="dxa"/>
            <w:vAlign w:val="center"/>
          </w:tcPr>
          <w:p>
            <w:pPr>
              <w:jc w:val="right"/>
            </w:pPr>
            <w:r>
              <w:t>38.23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8,955,556.03</w:t>
            </w:r>
          </w:p>
        </w:tc>
        <w:tc>
          <w:tcPr>
            <w:tcW w:w="1705" w:type="dxa"/>
            <w:vAlign w:val="center"/>
          </w:tcPr>
          <w:p>
            <w:pPr>
              <w:jc w:val="right"/>
            </w:pPr>
            <w:r>
              <w:t>49.52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8,955,556.03</w:t>
            </w:r>
          </w:p>
        </w:tc>
        <w:tc>
          <w:tcPr>
            <w:tcW w:w="1705" w:type="dxa"/>
            <w:vAlign w:val="center"/>
          </w:tcPr>
          <w:p>
            <w:pPr>
              <w:jc w:val="right"/>
            </w:pPr>
            <w:r>
              <w:t>49.52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1,816,168.21</w:t>
            </w:r>
          </w:p>
        </w:tc>
        <w:tc>
          <w:tcPr>
            <w:tcW w:w="1705" w:type="dxa"/>
            <w:vAlign w:val="center"/>
          </w:tcPr>
          <w:p>
            <w:pPr>
              <w:jc w:val="right"/>
            </w:pPr>
            <w:r>
              <w:t>10.04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413,253.47</w:t>
            </w:r>
          </w:p>
        </w:tc>
        <w:tc>
          <w:tcPr>
            <w:tcW w:w="1705" w:type="dxa"/>
            <w:vAlign w:val="center"/>
          </w:tcPr>
          <w:p>
            <w:pPr>
              <w:jc w:val="right"/>
            </w:pPr>
            <w:r>
              <w:t>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18,086,263.00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2,493.46</w:t>
            </w:r>
          </w:p>
        </w:tc>
        <w:tc>
          <w:tcPr>
            <w:tcW w:w="1705" w:type="dxa"/>
            <w:vAlign w:val="center"/>
          </w:tcPr>
          <w:p>
            <w:pPr>
              <w:jc w:val="right"/>
            </w:pPr>
            <w: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18,086,263.00</w:t>
            </w:r>
          </w:p>
        </w:tc>
        <w:tc>
          <w:tcPr>
            <w:tcW w:w="1749" w:type="dxa"/>
            <w:shd w:val="clear" w:color="auto" w:fill="auto"/>
          </w:tcPr>
          <w:p>
            <w:pPr>
              <w:jc w:val="right"/>
            </w:pPr>
            <w:r>
              <w:t>100.00</w:t>
            </w:r>
          </w:p>
        </w:tc>
        <w:tc>
          <w:tcPr>
            <w:tcW w:w="1653" w:type="dxa"/>
          </w:tcPr>
          <w:p>
            <w:pPr>
              <w:jc w:val="right"/>
            </w:pPr>
            <w:r>
              <w:t>18,101,637.43</w:t>
            </w:r>
          </w:p>
        </w:tc>
        <w:tc>
          <w:tcPr>
            <w:tcW w:w="1705" w:type="dxa"/>
          </w:tcPr>
          <w:p>
            <w:pPr>
              <w:jc w:val="right"/>
            </w:pPr>
            <w:r>
              <w:t>100.09</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szCs w:val="21"/>
        </w:rPr>
      </w:pPr>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宋体" w:hAnsi="宋体"/>
          <w:sz w:val="24"/>
        </w:rPr>
      </w:pPr>
      <w:r>
        <w:rPr>
          <w:rFonts w:hint="eastAsia" w:ascii="宋体" w:hAnsi="宋体"/>
          <w:sz w:val="24"/>
          <w:lang w:eastAsia="zh-CN"/>
        </w:rPr>
        <w:t>报告期内，本产品未发生重大流动性风险事件。</w:t>
      </w:r>
      <w:bookmarkStart w:id="5" w:name="_GoBack"/>
      <w:bookmarkEnd w:id="5"/>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财通证券资管月月赢2号集合资产管理计划</w:t>
            </w:r>
          </w:p>
        </w:tc>
        <w:tc>
          <w:tcPr>
            <w:tcW w:w="2693" w:type="dxa"/>
            <w:shd w:val="clear" w:color="auto" w:fill="auto"/>
            <w:vAlign w:val="center"/>
          </w:tcPr>
          <w:p>
            <w:pPr>
              <w:jc w:val="right"/>
            </w:pPr>
            <w:r>
              <w:t>18,086,263.00</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541"/>
        <w:gridCol w:w="2801"/>
        <w:gridCol w:w="2398"/>
        <w:gridCol w:w="2320"/>
      </w:tblGrid>
      <w:tr>
        <w:tblPrEx>
          <w:tblLayout w:type="fixed"/>
          <w:tblCellMar>
            <w:top w:w="0" w:type="dxa"/>
            <w:left w:w="0" w:type="dxa"/>
            <w:bottom w:w="0" w:type="dxa"/>
            <w:right w:w="0" w:type="dxa"/>
          </w:tblCellMar>
        </w:tblPrEx>
        <w:trPr>
          <w:trHeight w:val="744" w:hRule="atLeast"/>
          <w:jc w:val="center"/>
        </w:trPr>
        <w:tc>
          <w:tcPr>
            <w:tcW w:w="1541"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8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398"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2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rPr>
                <w:rFonts w:hint="eastAsia" w:eastAsia="宋体"/>
                <w:lang w:val="en-US" w:eastAsia="zh-CN"/>
              </w:rPr>
            </w:pPr>
            <w:r>
              <w:rPr>
                <w:rFonts w:hint="eastAsia"/>
                <w:b/>
                <w:bCs/>
                <w:lang w:val="en-US" w:eastAsia="zh-CN"/>
              </w:rPr>
              <w:t>占产品资产净值比例（%）</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上交所质押式回购</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1,816,168.21</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10.04</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泰信添鑫中短债A</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918,708.19</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5.08</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国联盈泽中短债E</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857,555.26</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4.74</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山西证券超短债A</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855,210.91</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4.73</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24九国D2</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854,410.17</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4.72</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博时安盈E</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746,187.44</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4.13</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24瀚控D1</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690,713.55</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3.82</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23沛兴D</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654,880.51</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3.62</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24长寿05</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645,576.78</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3.57</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24迈瑞D2</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645,032.39</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3.57</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2024-07-15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12BD56DA"/>
    <w:rsid w:val="1DD13355"/>
    <w:rsid w:val="1F246194"/>
    <w:rsid w:val="30D863E3"/>
    <w:rsid w:val="35844C1F"/>
    <w:rsid w:val="378A66D0"/>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2024-08-26T03:00:40Z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D87577B2AB004D78AF4EDE32973003DC</vt:lpwstr>
  </property>
</Properties>
</file>