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rPr>
      </w:pPr>
      <w:r>
        <w:rPr>
          <w:rFonts w:hint="eastAsia" w:ascii="黑体" w:hAnsi="宋体" w:eastAsia="黑体"/>
          <w:b/>
          <w:bCs/>
          <w:color w:val="000000"/>
          <w:sz w:val="48"/>
          <w:szCs w:val="48"/>
        </w:rPr>
        <w:t>德清农商银行丰收喜悦月月赢</w:t>
      </w:r>
      <w:r>
        <w:rPr>
          <w:rFonts w:hint="eastAsia" w:ascii="黑体" w:hAnsi="宋体" w:eastAsia="黑体"/>
          <w:b/>
          <w:bCs/>
          <w:color w:val="000000"/>
          <w:sz w:val="48"/>
          <w:szCs w:val="48"/>
          <w:lang w:val="en-US" w:eastAsia="zh-CN"/>
        </w:rPr>
        <w:t>2</w:t>
      </w:r>
      <w:r>
        <w:rPr>
          <w:rFonts w:hint="eastAsia" w:ascii="黑体" w:hAnsi="宋体" w:eastAsia="黑体"/>
          <w:b/>
          <w:bCs/>
          <w:color w:val="000000"/>
          <w:sz w:val="48"/>
          <w:szCs w:val="48"/>
        </w:rPr>
        <w:t>号28天定开净值型理财产品</w:t>
      </w:r>
    </w:p>
    <w:p>
      <w:pPr>
        <w:jc w:val="center"/>
        <w:rPr>
          <w:rFonts w:ascii="宋体" w:hAnsi="宋体"/>
          <w:b/>
          <w:bCs/>
          <w:sz w:val="28"/>
          <w:szCs w:val="30"/>
        </w:rPr>
      </w:pPr>
      <w:r>
        <w:rPr>
          <w:rFonts w:hint="eastAsia" w:ascii="黑体" w:hAnsi="Times New Roman" w:eastAsia="黑体"/>
          <w:b/>
          <w:sz w:val="44"/>
          <w:szCs w:val="48"/>
        </w:rPr>
        <w:t>202</w:t>
      </w:r>
      <w:r>
        <w:rPr>
          <w:rFonts w:hint="eastAsia" w:ascii="黑体" w:eastAsia="黑体"/>
          <w:b/>
          <w:sz w:val="44"/>
          <w:szCs w:val="48"/>
          <w:lang w:val="en-US" w:eastAsia="zh-CN"/>
        </w:rPr>
        <w:t>4</w:t>
      </w:r>
      <w:r>
        <w:rPr>
          <w:rFonts w:hint="eastAsia" w:ascii="黑体" w:hAnsi="Times New Roman" w:eastAsia="黑体"/>
          <w:b/>
          <w:sz w:val="44"/>
          <w:szCs w:val="48"/>
        </w:rPr>
        <w:t>年第</w:t>
      </w:r>
      <w:r>
        <w:rPr>
          <w:rFonts w:hint="eastAsia" w:ascii="黑体" w:eastAsia="黑体"/>
          <w:b/>
          <w:sz w:val="44"/>
          <w:szCs w:val="48"/>
          <w:lang w:eastAsia="zh-CN"/>
        </w:rPr>
        <w:t>二</w:t>
      </w:r>
      <w:r>
        <w:rPr>
          <w:rFonts w:hint="eastAsia" w:ascii="黑体" w:hAnsi="Times New Roman" w:eastAsia="黑体"/>
          <w:b/>
          <w:sz w:val="44"/>
          <w:szCs w:val="48"/>
        </w:rPr>
        <w:t>季度报告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自2024-04-01起至2024-06-30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浙江德清农村商业银行股份有限公司“丰收喜悦”月月赢2号28天定期开放式净值型理财产品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2031-10-14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18,070,000.00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w:t>
            </w:r>
            <w:r>
              <w:rPr>
                <w:rFonts w:hint="eastAsia" w:ascii="宋体" w:hAnsi="宋体"/>
                <w:lang w:val="en-US" w:eastAsia="zh-CN"/>
              </w:rPr>
              <w:t>1.8</w:t>
            </w:r>
            <w:r>
              <w:rPr>
                <w:rFonts w:ascii="宋体" w:hAnsi="宋体"/>
              </w:rPr>
              <w:t>%-3.</w:t>
            </w:r>
            <w:r>
              <w:rPr>
                <w:rFonts w:hint="eastAsia" w:ascii="宋体" w:hAnsi="宋体"/>
                <w:lang w:val="en-US" w:eastAsia="zh-CN"/>
              </w:rPr>
              <w:t>0</w:t>
            </w:r>
            <w:r>
              <w:rPr>
                <w:rFonts w:ascii="宋体" w:hAnsi="宋体"/>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杠杆水平</w:t>
            </w:r>
          </w:p>
        </w:tc>
        <w:tc>
          <w:tcPr>
            <w:tcW w:w="5027" w:type="dxa"/>
            <w:vAlign w:val="center"/>
          </w:tcPr>
          <w:p>
            <w:pPr>
              <w:jc w:val="left"/>
              <w:rPr>
                <w:rFonts w:ascii="宋体" w:hAnsi="宋体"/>
              </w:rPr>
            </w:pPr>
            <w:r>
              <w:rPr>
                <w:rFonts w:hint="eastAsia"/>
                <w:lang w:val="en-US" w:eastAsia="zh-CN"/>
              </w:rPr>
              <w:t>100.09%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风险等级</w:t>
            </w:r>
          </w:p>
        </w:tc>
        <w:tc>
          <w:tcPr>
            <w:tcW w:w="5027" w:type="dxa"/>
            <w:vAlign w:val="center"/>
          </w:tcPr>
          <w:p>
            <w:pPr>
              <w:jc w:val="left"/>
              <w:rPr>
                <w:rFonts w:ascii="宋体" w:hAnsi="宋体"/>
              </w:rPr>
            </w:pPr>
            <w:r>
              <w:rPr>
                <w:rFonts w:hint="eastAsia"/>
                <w:lang w:val="en-US" w:eastAsia="zh-CN"/>
              </w:rPr>
              <w:t>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产品投资性质</w:t>
            </w:r>
          </w:p>
        </w:tc>
        <w:tc>
          <w:tcPr>
            <w:tcW w:w="5027" w:type="dxa"/>
            <w:vAlign w:val="center"/>
          </w:tcPr>
          <w:p>
            <w:pPr>
              <w:jc w:val="left"/>
              <w:rPr>
                <w:rFonts w:ascii="宋体" w:hAnsi="宋体"/>
              </w:rPr>
            </w:pPr>
            <w:r>
              <w:rPr>
                <w:rFonts w:hint="eastAsia"/>
                <w:lang w:val="en-US" w:eastAsia="zh-CN"/>
              </w:rPr>
              <w:t>固定收益类</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2024-04-01</w:t>
            </w:r>
            <w:r>
              <w:rPr>
                <w:rFonts w:hint="eastAsia" w:ascii="宋体" w:hAnsi="宋体"/>
              </w:rPr>
              <w:t>至</w:t>
            </w:r>
            <w:r>
              <w:rPr>
                <w:rFonts w:ascii="宋体" w:hAnsi="宋体"/>
              </w:rPr>
              <w:t>2024-06-30</w:t>
            </w:r>
            <w:r>
              <w:rPr>
                <w:rFonts w:hint="eastAsia" w:ascii="宋体" w:hAnsi="宋体"/>
              </w:rPr>
              <w:t>）</w:t>
            </w:r>
          </w:p>
        </w:tc>
        <w:tc>
          <w:tcPr>
            <w:tcW w:w="5103" w:type="dxa"/>
            <w:vAlign w:val="center"/>
          </w:tcPr>
          <w:p>
            <w:pPr>
              <w:jc w:val="right"/>
            </w:pPr>
            <w:r>
              <w:t>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7.64</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2024-04-01</w:t>
            </w:r>
            <w:r>
              <w:rPr>
                <w:rFonts w:hint="eastAsia"/>
                <w:b/>
              </w:rPr>
              <w:t xml:space="preserve">至 </w:t>
            </w:r>
            <w:r>
              <w:rPr>
                <w:b/>
              </w:rPr>
              <w:t>2024-06-30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110,788.55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125,116.55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18,085,093.17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1.0008</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6,914,166.27</w:t>
            </w:r>
          </w:p>
        </w:tc>
        <w:tc>
          <w:tcPr>
            <w:tcW w:w="1705" w:type="dxa"/>
            <w:vAlign w:val="center"/>
          </w:tcPr>
          <w:p>
            <w:pPr>
              <w:jc w:val="right"/>
            </w:pPr>
            <w:r>
              <w:t>38.23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8,955,556.03</w:t>
            </w:r>
          </w:p>
        </w:tc>
        <w:tc>
          <w:tcPr>
            <w:tcW w:w="1705" w:type="dxa"/>
            <w:vAlign w:val="center"/>
          </w:tcPr>
          <w:p>
            <w:pPr>
              <w:jc w:val="right"/>
            </w:pPr>
            <w:r>
              <w:t>49.52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8,955,556.03</w:t>
            </w:r>
          </w:p>
        </w:tc>
        <w:tc>
          <w:tcPr>
            <w:tcW w:w="1705" w:type="dxa"/>
            <w:vAlign w:val="center"/>
          </w:tcPr>
          <w:p>
            <w:pPr>
              <w:jc w:val="right"/>
            </w:pPr>
            <w:r>
              <w:t>49.52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1,816,168.21</w:t>
            </w:r>
          </w:p>
        </w:tc>
        <w:tc>
          <w:tcPr>
            <w:tcW w:w="1705" w:type="dxa"/>
            <w:vAlign w:val="center"/>
          </w:tcPr>
          <w:p>
            <w:pPr>
              <w:jc w:val="right"/>
            </w:pPr>
            <w:r>
              <w:t>10.04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413,253.47</w:t>
            </w:r>
          </w:p>
        </w:tc>
        <w:tc>
          <w:tcPr>
            <w:tcW w:w="1705" w:type="dxa"/>
            <w:vAlign w:val="center"/>
          </w:tcPr>
          <w:p>
            <w:pPr>
              <w:jc w:val="right"/>
            </w:pPr>
            <w:r>
              <w:t>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18,086,263.00</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2,493.46</w:t>
            </w:r>
          </w:p>
        </w:tc>
        <w:tc>
          <w:tcPr>
            <w:tcW w:w="1705" w:type="dxa"/>
            <w:vAlign w:val="center"/>
          </w:tcPr>
          <w:p>
            <w:pPr>
              <w:jc w:val="right"/>
            </w:pPr>
            <w: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18,086,263.00</w:t>
            </w:r>
          </w:p>
        </w:tc>
        <w:tc>
          <w:tcPr>
            <w:tcW w:w="1749" w:type="dxa"/>
            <w:shd w:val="clear" w:color="auto" w:fill="auto"/>
          </w:tcPr>
          <w:p>
            <w:pPr>
              <w:jc w:val="right"/>
            </w:pPr>
            <w:r>
              <w:t>100.00</w:t>
            </w:r>
          </w:p>
        </w:tc>
        <w:tc>
          <w:tcPr>
            <w:tcW w:w="1653" w:type="dxa"/>
          </w:tcPr>
          <w:p>
            <w:pPr>
              <w:jc w:val="right"/>
            </w:pPr>
            <w:r>
              <w:t>18,101,637.43</w:t>
            </w:r>
          </w:p>
        </w:tc>
        <w:tc>
          <w:tcPr>
            <w:tcW w:w="1705" w:type="dxa"/>
          </w:tcPr>
          <w:p>
            <w:pPr>
              <w:jc w:val="right"/>
            </w:pPr>
            <w:r>
              <w:t>100.09</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asciiTheme="minorEastAsia" w:hAnsiTheme="minorEastAsia" w:eastAsiaTheme="minorEastAsia"/>
          <w:szCs w:val="21"/>
        </w:rPr>
      </w:pPr>
      <w:r>
        <w:rPr>
          <w:rFonts w:hint="eastAsia" w:ascii="宋体" w:hAnsi="宋体"/>
          <w:sz w:val="24"/>
        </w:rPr>
        <w:t xml:space="preserve">   </w:t>
      </w:r>
      <w:r>
        <w:rPr>
          <w:rFonts w:hint="eastAsia" w:asciiTheme="minorEastAsia" w:hAnsiTheme="minorEastAsia" w:eastAsiaTheme="minorEastAsia"/>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asciiTheme="minorEastAsia" w:hAnsiTheme="minorEastAsia" w:eastAsiaTheme="minorEastAsia"/>
          <w:sz w:val="24"/>
        </w:rPr>
      </w:pPr>
      <w:r>
        <w:rPr>
          <w:rFonts w:hint="eastAsia" w:asciiTheme="minorEastAsia" w:hAnsiTheme="minorEastAsia" w:eastAsiaTheme="minorEastAsia"/>
          <w:szCs w:val="21"/>
        </w:rPr>
        <w:t>为防范无法支付到期赎回款而产生的流动性风险，本产品管理人将合理安排所投资产期限，产品到期前完成所投资组合中相关资产变现，尽可能降低产品流动性风险，有效保障产品持有人利益。</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ascii="宋体" w:hAnsi="宋体"/>
          <w:sz w:val="24"/>
        </w:rPr>
      </w:pPr>
      <w:r>
        <w:rPr>
          <w:rFonts w:hint="eastAsia" w:ascii="宋体" w:hAnsi="宋体"/>
          <w:sz w:val="24"/>
          <w:lang w:eastAsia="zh-CN"/>
        </w:rPr>
        <w:t>报告期内，本产品未发生重大流动性风险事件。</w:t>
      </w: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财通证券资管月月赢2号集合资产管理计划</w:t>
            </w:r>
          </w:p>
        </w:tc>
        <w:tc>
          <w:tcPr>
            <w:tcW w:w="2693" w:type="dxa"/>
            <w:shd w:val="clear" w:color="auto" w:fill="auto"/>
            <w:vAlign w:val="center"/>
          </w:tcPr>
          <w:p>
            <w:pPr>
              <w:jc w:val="right"/>
            </w:pPr>
            <w:r>
              <w:t>18,086,263.00</w:t>
            </w:r>
          </w:p>
        </w:tc>
        <w:tc>
          <w:tcPr>
            <w:tcW w:w="2431" w:type="dxa"/>
            <w:shd w:val="clear" w:color="auto" w:fill="auto"/>
            <w:vAlign w:val="center"/>
          </w:tcPr>
          <w:p>
            <w:pPr>
              <w:jc w:val="right"/>
            </w:pPr>
            <w:bookmarkStart w:id="3" w:name="OLE_LINK5"/>
            <w:bookmarkStart w:id="4" w:name="OLE_LINK6"/>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541"/>
        <w:gridCol w:w="2801"/>
        <w:gridCol w:w="2398"/>
        <w:gridCol w:w="2320"/>
      </w:tblGrid>
      <w:tr>
        <w:tblPrEx>
          <w:tblLayout w:type="fixed"/>
          <w:tblCellMar>
            <w:top w:w="0" w:type="dxa"/>
            <w:left w:w="0" w:type="dxa"/>
            <w:bottom w:w="0" w:type="dxa"/>
            <w:right w:w="0" w:type="dxa"/>
          </w:tblCellMar>
        </w:tblPrEx>
        <w:trPr>
          <w:trHeight w:val="744" w:hRule="atLeast"/>
          <w:jc w:val="center"/>
        </w:trPr>
        <w:tc>
          <w:tcPr>
            <w:tcW w:w="1541"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8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398"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2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rPr>
                <w:rFonts w:hint="eastAsia" w:eastAsia="宋体"/>
                <w:lang w:val="en-US" w:eastAsia="zh-CN"/>
              </w:rPr>
            </w:pPr>
            <w:r>
              <w:rPr>
                <w:rFonts w:hint="eastAsia"/>
                <w:b/>
                <w:bCs/>
                <w:lang w:val="en-US" w:eastAsia="zh-CN"/>
              </w:rPr>
              <w:t>占产品资产净值比例（%）</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上交所质押式回购</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1,816,168.21</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10.04</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泰信添鑫中短债A</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918,708.19</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5.08</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国联盈泽中短债E</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857,555.26</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4.74</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山西证券超短债A</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855,210.91</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4.73</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24九国D2</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854,410.17</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4.72</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博时安盈E</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746,187.44</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4.13</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24瀚控D1</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690,713.55</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3.82</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23沛兴D</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654,880.51</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3.62</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24长寿05</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645,576.78</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3.57</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24迈瑞D2</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645,032.39</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3.57</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2024-07-</w:t>
      </w:r>
      <w:r>
        <w:rPr>
          <w:rFonts w:hint="eastAsia" w:ascii="宋体" w:hAnsi="宋体"/>
          <w:sz w:val="28"/>
          <w:szCs w:val="28"/>
          <w:lang w:val="en-US" w:eastAsia="zh-CN"/>
        </w:rPr>
        <w:t>19</w:t>
      </w:r>
      <w:bookmarkStart w:id="5" w:name="_GoBack"/>
      <w:bookmarkEnd w:id="5"/>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1DD13355"/>
    <w:rsid w:val="1F246194"/>
    <w:rsid w:val="30D863E3"/>
    <w:rsid w:val="35844C1F"/>
    <w:rsid w:val="378A66D0"/>
    <w:rsid w:val="52C52DF9"/>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1</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2024-07-22T09:00:43Z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D87577B2AB004D78AF4EDE32973003DC</vt:lpwstr>
  </property>
</Properties>
</file>