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bookmarkStart w:id="5" w:name="_GoBack"/>
      <w:bookmarkEnd w:id="5"/>
    </w:p>
    <w:p>
      <w:pPr>
        <w:rPr>
          <w:sz w:val="48"/>
        </w:rPr>
      </w:pPr>
    </w:p>
    <w:p>
      <w:pPr>
        <w:jc w:val="center"/>
        <w:rPr>
          <w:rFonts w:hint="eastAsia"/>
        </w:rPr>
      </w:pPr>
      <w:r>
        <w:rPr>
          <w:rFonts w:hint="eastAsia" w:ascii="黑体" w:hAnsi="宋体" w:eastAsia="黑体"/>
          <w:b/>
          <w:bCs/>
          <w:color w:val="000000"/>
          <w:sz w:val="48"/>
          <w:szCs w:val="48"/>
        </w:rPr>
        <w:t>德清农商银行丰收喜悦月月赢</w:t>
      </w:r>
      <w:r>
        <w:rPr>
          <w:rFonts w:hint="eastAsia" w:ascii="黑体" w:hAnsi="宋体" w:eastAsia="黑体"/>
          <w:b/>
          <w:bCs/>
          <w:color w:val="000000"/>
          <w:sz w:val="48"/>
          <w:szCs w:val="48"/>
          <w:lang w:val="en-US" w:eastAsia="zh-CN"/>
        </w:rPr>
        <w:t>2</w:t>
      </w:r>
      <w:r>
        <w:rPr>
          <w:rFonts w:hint="eastAsia" w:ascii="黑体" w:hAnsi="宋体" w:eastAsia="黑体"/>
          <w:b/>
          <w:bCs/>
          <w:color w:val="000000"/>
          <w:sz w:val="48"/>
          <w:szCs w:val="48"/>
        </w:rPr>
        <w:t>号28天定开净值型理财产品</w:t>
      </w:r>
    </w:p>
    <w:p>
      <w:pPr>
        <w:jc w:val="center"/>
      </w:pPr>
      <w:r>
        <w:rPr>
          <w:rFonts w:hint="eastAsia" w:ascii="黑体" w:hAnsi="Times New Roman" w:eastAsia="黑体"/>
          <w:b/>
          <w:sz w:val="44"/>
          <w:szCs w:val="48"/>
        </w:rPr>
        <w:t>2023年第</w:t>
      </w:r>
      <w:r>
        <w:rPr>
          <w:rFonts w:hint="eastAsia" w:ascii="黑体" w:eastAsia="黑体"/>
          <w:b/>
          <w:sz w:val="44"/>
          <w:szCs w:val="48"/>
          <w:lang w:eastAsia="zh-CN"/>
        </w:rPr>
        <w:t>四</w:t>
      </w:r>
      <w:r>
        <w:rPr>
          <w:rFonts w:hint="eastAsia" w:ascii="黑体" w:hAnsi="Times New Roman" w:eastAsia="黑体"/>
          <w:b/>
          <w:sz w:val="44"/>
          <w:szCs w:val="48"/>
        </w:rPr>
        <w:t>季度报告</w:t>
      </w:r>
    </w:p>
    <w:p>
      <w:pPr>
        <w:jc w:val="center"/>
        <w:rPr>
          <w:rFonts w:ascii="宋体" w:hAnsi="宋体"/>
          <w:b/>
          <w:bCs/>
          <w:sz w:val="48"/>
          <w:szCs w:val="30"/>
        </w:rPr>
      </w:pP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产品管理人：浙江德清农村商业银行股份有限公司</w:t>
      </w:r>
    </w:p>
    <w:p>
      <w:pPr>
        <w:ind w:firstLine="1687" w:firstLineChars="600"/>
        <w:jc w:val="left"/>
        <w:rPr>
          <w:rFonts w:ascii="宋体" w:hAnsi="宋体"/>
          <w:sz w:val="28"/>
          <w:szCs w:val="30"/>
        </w:rPr>
      </w:pPr>
      <w:r>
        <w:rPr>
          <w:rFonts w:ascii="宋体" w:hAnsi="宋体"/>
          <w:b/>
          <w:bCs/>
          <w:sz w:val="28"/>
          <w:szCs w:val="30"/>
        </w:rPr>
        <w:t>产品托管人：</w:t>
      </w:r>
      <w:r>
        <w:rPr>
          <w:rFonts w:hint="eastAsia" w:ascii="宋体" w:hAnsi="宋体"/>
          <w:b/>
          <w:bCs/>
          <w:sz w:val="28"/>
          <w:szCs w:val="30"/>
        </w:rPr>
        <w:t>招商银行股份有限公司杭州分行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招商银行股份有限公司杭州分行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自2023-10-01起至2023-12-31</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产品名称</w:t>
            </w:r>
          </w:p>
        </w:tc>
        <w:tc>
          <w:tcPr>
            <w:tcW w:w="5027" w:type="dxa"/>
            <w:vAlign w:val="center"/>
          </w:tcPr>
          <w:p>
            <w:pPr>
              <w:jc w:val="left"/>
              <w:rPr>
                <w:rFonts w:ascii="宋体" w:hAnsi="宋体"/>
              </w:rPr>
            </w:pPr>
            <w:r>
              <w:rPr>
                <w:rFonts w:hint="eastAsia" w:ascii="宋体" w:hAnsi="宋体"/>
              </w:rPr>
              <w:t>浙江德清农村商业银行股份有限公司“丰收喜悦”月月赢2号28天定期开放式净值型理财产品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产品登记编码</w:t>
            </w:r>
          </w:p>
        </w:tc>
        <w:tc>
          <w:tcPr>
            <w:tcW w:w="5027" w:type="dxa"/>
            <w:vAlign w:val="center"/>
          </w:tcPr>
          <w:p>
            <w:pPr>
              <w:jc w:val="left"/>
              <w:rPr>
                <w:rFonts w:ascii="宋体" w:hAnsi="宋体"/>
              </w:rPr>
            </w:pPr>
            <w:r>
              <w:rPr>
                <w:rFonts w:ascii="宋体" w:hAnsi="宋体"/>
              </w:rPr>
              <w:t>C1124622000007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ind w:right="-107" w:rightChars="-51"/>
              <w:jc w:val="left"/>
              <w:rPr>
                <w:rFonts w:ascii="宋体" w:hAnsi="宋体"/>
              </w:rPr>
            </w:pPr>
            <w:r>
              <w:rPr>
                <w:rFonts w:hint="eastAsia" w:ascii="宋体" w:hAnsi="宋体"/>
                <w:szCs w:val="21"/>
              </w:rPr>
              <w:t>产品管理人</w:t>
            </w:r>
          </w:p>
        </w:tc>
        <w:tc>
          <w:tcPr>
            <w:tcW w:w="5027" w:type="dxa"/>
            <w:vAlign w:val="center"/>
          </w:tcPr>
          <w:p>
            <w:pPr>
              <w:jc w:val="left"/>
              <w:rPr>
                <w:rFonts w:ascii="宋体" w:hAnsi="宋体"/>
              </w:rPr>
            </w:pPr>
            <w:r>
              <w:rPr>
                <w:rFonts w:hint="eastAsia" w:ascii="宋体" w:hAnsi="宋体"/>
              </w:rPr>
              <w:t>浙江德清农村商业银行股份有限公司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产品托管人</w:t>
            </w:r>
          </w:p>
        </w:tc>
        <w:tc>
          <w:tcPr>
            <w:tcW w:w="5027" w:type="dxa"/>
            <w:vAlign w:val="center"/>
          </w:tcPr>
          <w:p>
            <w:pPr>
              <w:jc w:val="left"/>
              <w:rPr>
                <w:rFonts w:ascii="宋体" w:hAnsi="宋体"/>
              </w:rPr>
            </w:pPr>
            <w:r>
              <w:rPr>
                <w:rFonts w:ascii="宋体" w:hAnsi="宋体"/>
              </w:rPr>
              <w:t>招商银行股份有限公司杭州分行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产品运作方式</w:t>
            </w:r>
          </w:p>
        </w:tc>
        <w:tc>
          <w:tcPr>
            <w:tcW w:w="5027" w:type="dxa"/>
            <w:vAlign w:val="center"/>
          </w:tcPr>
          <w:p>
            <w:pPr>
              <w:jc w:val="left"/>
              <w:rPr>
                <w:rFonts w:ascii="宋体" w:hAnsi="宋体"/>
              </w:rPr>
            </w:pPr>
            <w:r>
              <w:rPr>
                <w:rFonts w:ascii="宋体" w:hAnsi="宋体"/>
              </w:rPr>
              <w:t>公募开放式净值型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rPr>
            </w:pPr>
            <w:r>
              <w:rPr>
                <w:rFonts w:hint="eastAsia" w:ascii="宋体" w:hAnsi="宋体"/>
                <w:szCs w:val="21"/>
              </w:rPr>
              <w:t>产品成立日</w:t>
            </w:r>
          </w:p>
        </w:tc>
        <w:tc>
          <w:tcPr>
            <w:tcW w:w="5027" w:type="dxa"/>
            <w:vAlign w:val="center"/>
          </w:tcPr>
          <w:p>
            <w:pPr>
              <w:jc w:val="left"/>
              <w:rPr>
                <w:rFonts w:ascii="宋体" w:hAnsi="宋体"/>
              </w:rPr>
            </w:pPr>
            <w:r>
              <w:rPr>
                <w:rFonts w:hint="eastAsia" w:ascii="宋体" w:hAnsi="宋体"/>
              </w:rPr>
              <w:t>2022-01-19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jc w:val="left"/>
              <w:rPr>
                <w:rFonts w:ascii="宋体" w:hAnsi="宋体"/>
                <w:szCs w:val="21"/>
              </w:rPr>
            </w:pPr>
            <w:r>
              <w:rPr>
                <w:rFonts w:hint="eastAsia" w:ascii="宋体" w:hAnsi="宋体"/>
                <w:szCs w:val="21"/>
              </w:rPr>
              <w:t>产品到期日</w:t>
            </w:r>
          </w:p>
        </w:tc>
        <w:tc>
          <w:tcPr>
            <w:tcW w:w="5027" w:type="dxa"/>
            <w:vAlign w:val="center"/>
          </w:tcPr>
          <w:p>
            <w:pPr>
              <w:jc w:val="left"/>
              <w:rPr>
                <w:rFonts w:ascii="宋体" w:hAnsi="宋体"/>
              </w:rPr>
            </w:pPr>
            <w:r>
              <w:rPr>
                <w:rFonts w:hint="eastAsia" w:ascii="宋体" w:hAnsi="宋体"/>
              </w:rPr>
              <w:t>2031-10-14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 w:hRule="atLeast"/>
        </w:trPr>
        <w:tc>
          <w:tcPr>
            <w:tcW w:w="3838" w:type="dxa"/>
            <w:vAlign w:val="center"/>
          </w:tcPr>
          <w:p>
            <w:pPr>
              <w:rPr>
                <w:rFonts w:ascii="宋体" w:hAnsi="宋体"/>
                <w:szCs w:val="21"/>
              </w:rPr>
            </w:pPr>
            <w:r>
              <w:rPr>
                <w:rFonts w:hint="eastAsia" w:ascii="宋体" w:hAnsi="宋体"/>
                <w:szCs w:val="21"/>
              </w:rPr>
              <w:t>报告期末产品份额总额</w:t>
            </w:r>
          </w:p>
        </w:tc>
        <w:tc>
          <w:tcPr>
            <w:tcW w:w="5027" w:type="dxa"/>
            <w:vAlign w:val="center"/>
          </w:tcPr>
          <w:p>
            <w:pPr>
              <w:jc w:val="left"/>
              <w:rPr>
                <w:rFonts w:ascii="宋体" w:hAnsi="宋体"/>
              </w:rPr>
            </w:pPr>
            <w:bookmarkStart w:id="0" w:name="OLE_LINK1"/>
            <w:r>
              <w:rPr>
                <w:rFonts w:hint="eastAsia" w:ascii="宋体" w:hAnsi="宋体"/>
              </w:rPr>
              <w:t>20,240,000.00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业绩比较基准（如有）</w:t>
            </w:r>
          </w:p>
        </w:tc>
        <w:tc>
          <w:tcPr>
            <w:tcW w:w="5027" w:type="dxa"/>
            <w:vAlign w:val="center"/>
          </w:tcPr>
          <w:p>
            <w:pPr>
              <w:jc w:val="left"/>
              <w:rPr>
                <w:rFonts w:ascii="宋体" w:hAnsi="宋体"/>
              </w:rPr>
            </w:pPr>
            <w:r>
              <w:rPr>
                <w:rFonts w:ascii="宋体" w:hAnsi="宋体"/>
              </w:rPr>
              <w:t>[</w:t>
            </w:r>
            <w:r>
              <w:rPr>
                <w:rFonts w:hint="eastAsia" w:ascii="宋体" w:hAnsi="宋体"/>
                <w:lang w:val="en-US" w:eastAsia="zh-CN"/>
              </w:rPr>
              <w:t>1.8</w:t>
            </w:r>
            <w:r>
              <w:rPr>
                <w:rFonts w:ascii="宋体" w:hAnsi="宋体"/>
              </w:rPr>
              <w:t>%-3.</w:t>
            </w:r>
            <w:r>
              <w:rPr>
                <w:rFonts w:hint="eastAsia" w:ascii="宋体" w:hAnsi="宋体"/>
                <w:lang w:val="en-US" w:eastAsia="zh-CN"/>
              </w:rPr>
              <w:t>0</w:t>
            </w:r>
            <w:r>
              <w:rPr>
                <w:rFonts w:ascii="宋体" w:hAnsi="宋体"/>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szCs w:val="21"/>
              </w:rPr>
            </w:pPr>
            <w:r>
              <w:rPr>
                <w:rFonts w:hint="eastAsia" w:ascii="宋体" w:hAnsi="宋体"/>
                <w:szCs w:val="21"/>
              </w:rPr>
              <w:t>估值方法</w:t>
            </w:r>
          </w:p>
        </w:tc>
        <w:tc>
          <w:tcPr>
            <w:tcW w:w="5027" w:type="dxa"/>
            <w:vAlign w:val="center"/>
          </w:tcPr>
          <w:p>
            <w:pPr>
              <w:jc w:val="left"/>
              <w:rPr>
                <w:rFonts w:ascii="宋体" w:hAnsi="宋体"/>
              </w:rPr>
            </w:pPr>
            <w:r>
              <w:rPr>
                <w:rFonts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杠杆水平</w:t>
            </w:r>
          </w:p>
        </w:tc>
        <w:tc>
          <w:tcPr>
            <w:tcW w:w="5027" w:type="dxa"/>
            <w:vAlign w:val="center"/>
          </w:tcPr>
          <w:p>
            <w:pPr>
              <w:jc w:val="left"/>
              <w:rPr>
                <w:rFonts w:ascii="宋体" w:hAnsi="宋体"/>
              </w:rPr>
            </w:pPr>
            <w:r>
              <w:rPr>
                <w:rFonts w:hint="eastAsia"/>
                <w:lang w:val="en-US" w:eastAsia="zh-CN"/>
              </w:rPr>
              <w:t>100.08%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风险等级</w:t>
            </w:r>
          </w:p>
        </w:tc>
        <w:tc>
          <w:tcPr>
            <w:tcW w:w="5027" w:type="dxa"/>
            <w:vAlign w:val="center"/>
          </w:tcPr>
          <w:p>
            <w:pPr>
              <w:jc w:val="left"/>
              <w:rPr>
                <w:rFonts w:ascii="宋体" w:hAnsi="宋体"/>
              </w:rPr>
            </w:pPr>
            <w:r>
              <w:rPr>
                <w:rFonts w:hint="eastAsia"/>
                <w:lang w:val="en-US" w:eastAsia="zh-CN"/>
              </w:rPr>
              <w:t>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rPr>
            </w:pPr>
            <w:r>
              <w:rPr>
                <w:rFonts w:hint="eastAsia" w:ascii="宋体" w:hAnsi="宋体"/>
                <w:szCs w:val="21"/>
                <w:lang w:eastAsia="zh-CN"/>
              </w:rPr>
              <w:t>产品投资性质</w:t>
            </w:r>
          </w:p>
        </w:tc>
        <w:tc>
          <w:tcPr>
            <w:tcW w:w="5027" w:type="dxa"/>
            <w:vAlign w:val="center"/>
          </w:tcPr>
          <w:p>
            <w:pPr>
              <w:jc w:val="left"/>
              <w:rPr>
                <w:rFonts w:ascii="宋体" w:hAnsi="宋体"/>
              </w:rPr>
            </w:pPr>
            <w:r>
              <w:rPr>
                <w:rFonts w:hint="eastAsia"/>
                <w:lang w:val="en-US" w:eastAsia="zh-CN"/>
              </w:rPr>
              <w:t>固定收益类</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rFonts w:hint="eastAsia"/>
                <w:b/>
              </w:rPr>
              <w:t>净值增长率（%）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2023-10-01</w:t>
            </w:r>
            <w:r>
              <w:rPr>
                <w:rFonts w:hint="eastAsia" w:ascii="宋体" w:hAnsi="宋体"/>
              </w:rPr>
              <w:t>至</w:t>
            </w:r>
            <w:r>
              <w:rPr>
                <w:rFonts w:ascii="宋体" w:hAnsi="宋体"/>
              </w:rPr>
              <w:t>2023-12-31</w:t>
            </w:r>
            <w:r>
              <w:rPr>
                <w:rFonts w:hint="eastAsia" w:ascii="宋体" w:hAnsi="宋体"/>
              </w:rPr>
              <w:t>）</w:t>
            </w:r>
          </w:p>
        </w:tc>
        <w:tc>
          <w:tcPr>
            <w:tcW w:w="5103" w:type="dxa"/>
            <w:vAlign w:val="center"/>
          </w:tcPr>
          <w:p>
            <w:pPr>
              <w:jc w:val="right"/>
            </w:pPr>
            <w:r>
              <w:t>0.67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rPr>
                <w:rFonts w:hint="eastAsia"/>
              </w:rPr>
              <w:t>6.42</w:t>
            </w:r>
            <w:bookmarkStart w:id="1" w:name="OLE_LINK4"/>
            <w:bookmarkEnd w:id="1"/>
            <w:bookmarkStart w:id="2" w:name="OLE_LINK7"/>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2023-10-01</w:t>
            </w:r>
            <w:r>
              <w:rPr>
                <w:rFonts w:hint="eastAsia"/>
                <w:b/>
              </w:rPr>
              <w:t xml:space="preserve">至 </w:t>
            </w:r>
            <w:r>
              <w:rPr>
                <w:b/>
              </w:rPr>
              <w:t>2023-12-31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141,463.62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本期利润</w:t>
            </w:r>
          </w:p>
        </w:tc>
        <w:tc>
          <w:tcPr>
            <w:tcW w:w="5027" w:type="dxa"/>
            <w:vAlign w:val="center"/>
          </w:tcPr>
          <w:p>
            <w:pPr>
              <w:jc w:val="right"/>
            </w:pPr>
            <w:r>
              <w:t>154,987.62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期末产品资产净值</w:t>
            </w:r>
          </w:p>
        </w:tc>
        <w:tc>
          <w:tcPr>
            <w:tcW w:w="5027" w:type="dxa"/>
            <w:vAlign w:val="center"/>
          </w:tcPr>
          <w:p>
            <w:pPr>
              <w:jc w:val="right"/>
            </w:pPr>
            <w:r>
              <w:t>20,279,506.79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期末产品份额净值</w:t>
            </w:r>
          </w:p>
        </w:tc>
        <w:tc>
          <w:tcPr>
            <w:tcW w:w="5027" w:type="dxa"/>
            <w:vAlign w:val="center"/>
          </w:tcPr>
          <w:p>
            <w:pPr>
              <w:jc w:val="right"/>
            </w:pPr>
            <w:r>
              <w:t>1.0019</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2,194,804.05</w:t>
            </w:r>
          </w:p>
        </w:tc>
        <w:tc>
          <w:tcPr>
            <w:tcW w:w="1705" w:type="dxa"/>
            <w:vAlign w:val="center"/>
          </w:tcPr>
          <w:p>
            <w:pPr>
              <w:jc w:val="right"/>
            </w:pPr>
            <w:r>
              <w:t>10.82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8,819,670.68</w:t>
            </w:r>
          </w:p>
        </w:tc>
        <w:tc>
          <w:tcPr>
            <w:tcW w:w="1705" w:type="dxa"/>
            <w:vAlign w:val="center"/>
          </w:tcPr>
          <w:p>
            <w:pPr>
              <w:jc w:val="right"/>
            </w:pPr>
            <w:r>
              <w:t>43.48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8,819,670.68</w:t>
            </w:r>
          </w:p>
        </w:tc>
        <w:tc>
          <w:tcPr>
            <w:tcW w:w="1705" w:type="dxa"/>
            <w:vAlign w:val="center"/>
          </w:tcPr>
          <w:p>
            <w:pPr>
              <w:jc w:val="right"/>
            </w:pPr>
            <w:r>
              <w:t>43.48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9,109,278.14</w:t>
            </w:r>
          </w:p>
        </w:tc>
        <w:tc>
          <w:tcPr>
            <w:tcW w:w="1705" w:type="dxa"/>
            <w:vAlign w:val="center"/>
          </w:tcPr>
          <w:p>
            <w:pPr>
              <w:jc w:val="right"/>
            </w:pPr>
            <w:r>
              <w:t>44.91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174,995.17</w:t>
            </w:r>
          </w:p>
        </w:tc>
        <w:tc>
          <w:tcPr>
            <w:tcW w:w="1705" w:type="dxa"/>
            <w:vAlign w:val="center"/>
          </w:tcPr>
          <w:p>
            <w:pPr>
              <w:jc w:val="right"/>
            </w:pPr>
            <w:r>
              <w:t>0.86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20,282,504.00</w:t>
            </w:r>
          </w:p>
        </w:tc>
        <w:tc>
          <w:tcPr>
            <w:tcW w:w="1749" w:type="dxa"/>
            <w:shd w:val="clear" w:color="auto" w:fill="auto"/>
            <w:vAlign w:val="center"/>
          </w:tcPr>
          <w:p>
            <w:pPr>
              <w:jc w:val="right"/>
            </w:pPr>
            <w:r>
              <w:t>100.00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834.75</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20,282,504.00</w:t>
            </w:r>
          </w:p>
        </w:tc>
        <w:tc>
          <w:tcPr>
            <w:tcW w:w="1749" w:type="dxa"/>
            <w:shd w:val="clear" w:color="auto" w:fill="auto"/>
          </w:tcPr>
          <w:p>
            <w:pPr>
              <w:jc w:val="right"/>
            </w:pPr>
            <w:r>
              <w:t>100.00</w:t>
            </w:r>
          </w:p>
        </w:tc>
        <w:tc>
          <w:tcPr>
            <w:tcW w:w="1653" w:type="dxa"/>
          </w:tcPr>
          <w:p>
            <w:pPr>
              <w:jc w:val="right"/>
            </w:pPr>
            <w:r>
              <w:t>20,299,582.78</w:t>
            </w:r>
          </w:p>
        </w:tc>
        <w:tc>
          <w:tcPr>
            <w:tcW w:w="1705" w:type="dxa"/>
          </w:tcPr>
          <w:p>
            <w:pPr>
              <w:jc w:val="right"/>
            </w:pPr>
            <w:r>
              <w:t>100.08</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r>
        <w:rPr>
          <w:rFonts w:hint="eastAsia" w:asciiTheme="minorEastAsia" w:hAnsiTheme="minorEastAsia" w:eastAsiaTheme="minorEastAsia"/>
          <w:szCs w:val="21"/>
        </w:rPr>
        <w:t>注1：间接投资占产品总资产的比例（%）为占本产品总资产的比例（%）。</w:t>
      </w: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hint="eastAsia" w:asciiTheme="minorEastAsia" w:hAnsiTheme="minorEastAsia" w:eastAsiaTheme="minorEastAsia"/>
          <w:szCs w:val="21"/>
        </w:rPr>
      </w:pPr>
      <w:r>
        <w:rPr>
          <w:rFonts w:hint="eastAsia" w:asciiTheme="minorEastAsia" w:hAnsiTheme="minorEastAsia" w:eastAsiaTheme="minorEastAsia"/>
          <w:szCs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w:t>
      </w:r>
    </w:p>
    <w:p>
      <w:pPr>
        <w:keepNext w:val="0"/>
        <w:keepLines w:val="0"/>
        <w:pageBreakBefore w:val="0"/>
        <w:kinsoku/>
        <w:wordWrap/>
        <w:overflowPunct/>
        <w:topLinePunct w:val="0"/>
        <w:autoSpaceDE/>
        <w:autoSpaceDN/>
        <w:bidi w:val="0"/>
        <w:adjustRightInd/>
        <w:snapToGrid/>
        <w:ind w:firstLine="420" w:firstLineChars="200"/>
        <w:jc w:val="left"/>
        <w:textAlignment w:val="auto"/>
        <w:rPr>
          <w:rFonts w:asciiTheme="minorEastAsia" w:hAnsiTheme="minorEastAsia" w:eastAsiaTheme="minorEastAsia"/>
          <w:sz w:val="24"/>
        </w:rPr>
      </w:pPr>
      <w:r>
        <w:rPr>
          <w:rFonts w:hint="eastAsia" w:asciiTheme="minorEastAsia" w:hAnsiTheme="minorEastAsia" w:eastAsiaTheme="minorEastAsia"/>
          <w:szCs w:val="21"/>
        </w:rPr>
        <w:t>为防范无法支付到期赎回款而产生的流动性风险，本产品管理人将合理安排所投资产期限，产品到期前完成所投资组合中相关资产变现，尽可能降低产品流动性风险，有效保障产品持有人利益。</w:t>
      </w:r>
    </w:p>
    <w:p>
      <w:pPr>
        <w:keepNext w:val="0"/>
        <w:keepLines w:val="0"/>
        <w:pageBreakBefore w:val="0"/>
        <w:widowControl/>
        <w:kinsoku/>
        <w:wordWrap/>
        <w:overflowPunct/>
        <w:topLinePunct w:val="0"/>
        <w:autoSpaceDE/>
        <w:autoSpaceDN/>
        <w:bidi w:val="0"/>
        <w:adjustRightInd/>
        <w:snapToGrid/>
        <w:ind w:firstLine="480" w:firstLineChars="200"/>
        <w:jc w:val="left"/>
        <w:textAlignment w:val="auto"/>
        <w:rPr>
          <w:rFonts w:asciiTheme="minorEastAsia" w:hAnsiTheme="minorEastAsia" w:eastAsiaTheme="minorEastAsia"/>
          <w:sz w:val="24"/>
        </w:rPr>
      </w:pPr>
      <w:r>
        <w:rPr>
          <w:rFonts w:hint="eastAsia" w:ascii="宋体" w:hAnsi="宋体"/>
          <w:sz w:val="24"/>
          <w:lang w:eastAsia="zh-CN"/>
        </w:rPr>
        <w:t>报告期内，本产品未发生重大流动性风险事件。</w:t>
      </w: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ascii="宋体" w:hAnsi="宋体"/>
                <w:b/>
                <w:szCs w:val="21"/>
              </w:rPr>
            </w:pPr>
            <w:r>
              <w:rPr>
                <w:rFonts w:hint="eastAsia" w:ascii="宋体" w:hAnsi="宋体"/>
                <w:b/>
                <w:szCs w:val="21"/>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szCs w:val="21"/>
              </w:rPr>
            </w:pPr>
            <w:r>
              <w:rPr>
                <w:szCs w:val="21"/>
              </w:rPr>
              <w:t>财通证券资管月月赢2号集合资产管理计划</w:t>
            </w:r>
          </w:p>
        </w:tc>
        <w:tc>
          <w:tcPr>
            <w:tcW w:w="2693" w:type="dxa"/>
            <w:shd w:val="clear" w:color="auto" w:fill="auto"/>
            <w:vAlign w:val="center"/>
          </w:tcPr>
          <w:p>
            <w:pPr>
              <w:jc w:val="right"/>
            </w:pPr>
            <w:r>
              <w:t>20,282,504.00</w:t>
            </w:r>
          </w:p>
        </w:tc>
        <w:tc>
          <w:tcPr>
            <w:tcW w:w="2431" w:type="dxa"/>
            <w:shd w:val="clear" w:color="auto" w:fill="auto"/>
            <w:vAlign w:val="center"/>
          </w:tcPr>
          <w:p>
            <w:pPr>
              <w:jc w:val="right"/>
            </w:pPr>
            <w:bookmarkStart w:id="3" w:name="OLE_LINK5"/>
            <w:bookmarkStart w:id="4" w:name="OLE_LINK6"/>
            <w:r>
              <w:t>100.01</w:t>
            </w:r>
            <w:bookmarkEnd w:id="3"/>
            <w:bookmarkEnd w:id="4"/>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1"/>
        <w:spacing w:before="156" w:after="156"/>
        <w:rPr>
          <w:b w:val="0"/>
        </w:rPr>
      </w:pPr>
      <w:r>
        <w:rPr>
          <w:rFonts w:hint="eastAsia"/>
          <w:b w:val="0"/>
        </w:rPr>
        <w:t>报告期末占资产净值比例大小排序的前十项资产明细（穿透后）</w:t>
      </w:r>
    </w:p>
    <w:p>
      <w:pPr>
        <w:spacing w:before="100" w:beforeAutospacing="1" w:after="100" w:afterAutospacing="1"/>
        <w:jc w:val="right"/>
      </w:pPr>
      <w:r>
        <w:rPr>
          <w:rFonts w:hint="eastAsia"/>
        </w:rPr>
        <w:t>金额单位：元</w:t>
      </w:r>
    </w:p>
    <w:tbl>
      <w:tblPr>
        <w:tblStyle w:val="17"/>
        <w:tblW w:w="9060" w:type="dxa"/>
        <w:jc w:val="center"/>
        <w:tblInd w:w="0" w:type="dxa"/>
        <w:tblLayout w:type="fixed"/>
        <w:tblCellMar>
          <w:top w:w="0" w:type="dxa"/>
          <w:left w:w="0" w:type="dxa"/>
          <w:bottom w:w="0" w:type="dxa"/>
          <w:right w:w="0" w:type="dxa"/>
        </w:tblCellMar>
      </w:tblPr>
      <w:tblGrid>
        <w:gridCol w:w="1307"/>
        <w:gridCol w:w="2912"/>
        <w:gridCol w:w="2501"/>
        <w:gridCol w:w="2340"/>
      </w:tblGrid>
      <w:tr>
        <w:tblPrEx>
          <w:tblLayout w:type="fixed"/>
          <w:tblCellMar>
            <w:top w:w="0" w:type="dxa"/>
            <w:left w:w="0" w:type="dxa"/>
            <w:bottom w:w="0" w:type="dxa"/>
            <w:right w:w="0" w:type="dxa"/>
          </w:tblCellMar>
        </w:tblPrEx>
        <w:trPr>
          <w:trHeight w:val="744" w:hRule="atLeast"/>
          <w:jc w:val="center"/>
        </w:trPr>
        <w:tc>
          <w:tcPr>
            <w:tcW w:w="1307" w:type="dxa"/>
            <w:tcBorders>
              <w:top w:val="single" w:color="auto" w:sz="8" w:space="0"/>
              <w:left w:val="single" w:color="auto" w:sz="8" w:space="0"/>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center"/>
            </w:pPr>
            <w:r>
              <w:rPr>
                <w:rFonts w:hint="eastAsia"/>
                <w:b/>
                <w:bCs/>
              </w:rPr>
              <w:t>序号</w:t>
            </w:r>
          </w:p>
        </w:tc>
        <w:tc>
          <w:tcPr>
            <w:tcW w:w="2912"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jc w:val="left"/>
            </w:pPr>
            <w:r>
              <w:rPr>
                <w:rFonts w:hint="eastAsia"/>
                <w:b/>
                <w:bCs/>
              </w:rPr>
              <w:t>资产名称</w:t>
            </w:r>
          </w:p>
        </w:tc>
        <w:tc>
          <w:tcPr>
            <w:tcW w:w="2501"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金额</w:t>
            </w:r>
          </w:p>
        </w:tc>
        <w:tc>
          <w:tcPr>
            <w:tcW w:w="2340" w:type="dxa"/>
            <w:tcBorders>
              <w:top w:val="single" w:color="auto" w:sz="8" w:space="0"/>
              <w:left w:val="nil"/>
              <w:bottom w:val="single" w:color="auto" w:sz="8" w:space="0"/>
              <w:right w:val="single" w:color="auto" w:sz="8" w:space="0"/>
            </w:tcBorders>
            <w:shd w:val="clear" w:color="auto" w:fill="D9D9D9"/>
            <w:tcMar>
              <w:top w:w="0" w:type="dxa"/>
              <w:left w:w="108" w:type="dxa"/>
              <w:bottom w:w="0" w:type="dxa"/>
              <w:right w:w="108" w:type="dxa"/>
            </w:tcMar>
            <w:vAlign w:val="center"/>
          </w:tcPr>
          <w:p>
            <w:pPr>
              <w:spacing w:before="100" w:beforeAutospacing="1" w:after="100" w:afterAutospacing="1"/>
            </w:pPr>
            <w:r>
              <w:rPr>
                <w:rFonts w:hint="eastAsia"/>
                <w:b/>
                <w:bCs/>
              </w:rPr>
              <w:t>占产品资产净值比例（%）</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上交所质押式回购</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5,078,859.08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25.04</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2</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银行间质押式回购</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4,030,419.06</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19.87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3</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21瀚瑞投资PPN001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1,108,995.10</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4</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泰信添鑫中短债A</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955,184.28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4.71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5</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23贴现国债65</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691,668.78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3.41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6</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23渝合D1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541,990.92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7</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23腾海投资PPN001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538,537.52</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2.66</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8</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23创鸿资产SCP001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529,537.03</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2.61</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9</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23沛兴D</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521,361.35</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2.57</w:t>
            </w:r>
          </w:p>
        </w:tc>
      </w:tr>
      <w:tr>
        <w:tblPrEx>
          <w:tblLayout w:type="fixed"/>
          <w:tblCellMar>
            <w:top w:w="0" w:type="dxa"/>
            <w:left w:w="0" w:type="dxa"/>
            <w:bottom w:w="0" w:type="dxa"/>
            <w:right w:w="0" w:type="dxa"/>
          </w:tblCellMar>
        </w:tblPrEx>
        <w:trPr>
          <w:jc w:val="center"/>
        </w:trPr>
        <w:tc>
          <w:tcPr>
            <w:tcW w:w="1307" w:type="dxa"/>
            <w:tcBorders>
              <w:top w:val="nil"/>
              <w:left w:val="single" w:color="auto" w:sz="8" w:space="0"/>
              <w:bottom w:val="single" w:color="auto" w:sz="8" w:space="0"/>
              <w:right w:val="single" w:color="auto" w:sz="8" w:space="0"/>
            </w:tcBorders>
            <w:tcMar>
              <w:top w:w="0" w:type="dxa"/>
              <w:left w:w="108" w:type="dxa"/>
              <w:bottom w:w="0" w:type="dxa"/>
              <w:right w:w="108" w:type="dxa"/>
            </w:tcMar>
          </w:tcPr>
          <w:p>
            <w:pPr>
              <w:spacing w:before="100" w:beforeAutospacing="1" w:after="100" w:afterAutospacing="1"/>
            </w:pPr>
            <w:r>
              <w:t>10</w:t>
            </w:r>
          </w:p>
        </w:tc>
        <w:tc>
          <w:tcPr>
            <w:tcW w:w="2912" w:type="dxa"/>
            <w:tcBorders>
              <w:top w:val="nil"/>
              <w:left w:val="nil"/>
              <w:bottom w:val="single" w:color="auto" w:sz="8" w:space="0"/>
              <w:right w:val="single" w:color="auto" w:sz="8" w:space="0"/>
            </w:tcBorders>
            <w:tcMar>
              <w:top w:w="0" w:type="dxa"/>
              <w:left w:w="108" w:type="dxa"/>
              <w:bottom w:w="0" w:type="dxa"/>
              <w:right w:w="108" w:type="dxa"/>
            </w:tcMar>
          </w:tcPr>
          <w:p>
            <w:pPr>
              <w:rPr>
                <w:sz w:val="20"/>
              </w:rPr>
            </w:pPr>
            <w:r>
              <w:rPr>
                <w:szCs w:val="21"/>
              </w:rPr>
              <w:t>23长资D1</w:t>
            </w:r>
          </w:p>
        </w:tc>
        <w:tc>
          <w:tcPr>
            <w:tcW w:w="2501"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363,183.28</w:t>
            </w:r>
          </w:p>
        </w:tc>
        <w:tc>
          <w:tcPr>
            <w:tcW w:w="2340" w:type="dxa"/>
            <w:tcBorders>
              <w:top w:val="nil"/>
              <w:left w:val="nil"/>
              <w:bottom w:val="single" w:color="auto" w:sz="8" w:space="0"/>
              <w:right w:val="single" w:color="auto" w:sz="8" w:space="0"/>
            </w:tcBorders>
            <w:tcMar>
              <w:top w:w="0" w:type="dxa"/>
              <w:left w:w="108" w:type="dxa"/>
              <w:bottom w:w="0" w:type="dxa"/>
              <w:right w:w="108" w:type="dxa"/>
            </w:tcMar>
          </w:tcPr>
          <w:p>
            <w:pPr>
              <w:jc w:val="right"/>
              <w:rPr>
                <w:rFonts w:eastAsia="Times New Roman"/>
                <w:sz w:val="20"/>
              </w:rPr>
            </w:pPr>
            <w:r>
              <w:t>1.79</w:t>
            </w:r>
          </w:p>
        </w:tc>
      </w:tr>
    </w:tbl>
    <w:p>
      <w:pPr>
        <w:spacing w:before="100" w:beforeAutospacing="1" w:after="100" w:afterAutospacing="1"/>
      </w:pPr>
      <w:r>
        <w:rPr>
          <w:rFonts w:hint="eastAsia"/>
        </w:rPr>
        <w:t>注：前十项资产明细仅包含证券投资、场外投资，不包含银行活期存款、存出保证金、清算备付金等资产。</w:t>
      </w:r>
    </w:p>
    <w:p>
      <w:pPr>
        <w:pStyle w:val="40"/>
      </w:pPr>
      <w:r>
        <w:t>托管人报告</w:t>
      </w:r>
    </w:p>
    <w:p>
      <w:pPr>
        <w:spacing w:line="360" w:lineRule="auto"/>
        <w:ind w:right="-107" w:rightChars="-51" w:firstLine="420" w:firstLineChars="200"/>
        <w:jc w:val="left"/>
        <w:rPr>
          <w:rFonts w:ascii="宋体" w:hAnsi="宋体"/>
          <w:szCs w:val="21"/>
        </w:rPr>
      </w:pPr>
      <w:r>
        <w:rPr>
          <w:rFonts w:hint="eastAsia" w:ascii="宋体" w:hAnsi="宋体"/>
          <w:szCs w:val="21"/>
        </w:rPr>
        <w:t>招商银行具备完善的公司治理结构、内部稽核监控制度和风险控制制度，我行在履行托管职责中，严格遵守有关法律法规、托管协议的规定，尽职尽责地履行托管义务并安全保管托管资产。</w:t>
      </w: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4"/>
        </w:rPr>
      </w:pPr>
    </w:p>
    <w:p>
      <w:pPr>
        <w:jc w:val="right"/>
        <w:rPr>
          <w:rFonts w:ascii="宋体" w:hAnsi="宋体"/>
          <w:sz w:val="28"/>
          <w:szCs w:val="28"/>
        </w:rPr>
      </w:pPr>
      <w:r>
        <w:rPr>
          <w:rFonts w:ascii="宋体" w:hAnsi="宋体"/>
          <w:sz w:val="28"/>
          <w:szCs w:val="28"/>
        </w:rPr>
        <w:t>浙江德清农村商业银行股份有限公司</w:t>
      </w:r>
    </w:p>
    <w:p>
      <w:pPr>
        <w:jc w:val="right"/>
        <w:rPr>
          <w:rFonts w:ascii="宋体" w:hAnsi="宋体"/>
          <w:sz w:val="28"/>
          <w:szCs w:val="28"/>
        </w:rPr>
      </w:pPr>
      <w:r>
        <w:rPr>
          <w:rFonts w:ascii="宋体" w:hAnsi="宋体"/>
          <w:sz w:val="28"/>
          <w:szCs w:val="28"/>
        </w:rPr>
        <w:t>2024-01-</w:t>
      </w:r>
      <w:r>
        <w:rPr>
          <w:rFonts w:hint="eastAsia" w:ascii="宋体" w:hAnsi="宋体"/>
          <w:sz w:val="28"/>
          <w:szCs w:val="28"/>
          <w:lang w:val="en-US" w:eastAsia="zh-CN"/>
        </w:rPr>
        <w:t>22</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NumType w:fmt="decimal" w:start="1" w:chapSep="hyphen"/>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527C4537"/>
    <w:rsid w:val="6C6B57C3"/>
  </w:rsids>
  <m:mathPr>
    <m:mathFont m:val="Cambria Math"/>
    <m:brkBin m:val="before"/>
    <m:brkBinSub m:val="--"/>
    <m:smallFrac m:val="0"/>
    <m:dispDef m:val="0"/>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uiPriority w:val="99"/>
    <w:tblPr>
      <w:tblLayout w:type="fixed"/>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Codes\FA&#22806;&#21253;-LU70\WbWeb\TBCoreV2\TBCore.Web\Report\Template\Normal.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3EB689-16BA-4565-9A6E-625CBFB7C1C4}">
  <ds:schemaRefs/>
</ds:datastoreItem>
</file>

<file path=docProps/app.xml><?xml version="1.0" encoding="utf-8"?>
<Properties xmlns="http://schemas.openxmlformats.org/officeDocument/2006/extended-properties" xmlns:vt="http://schemas.openxmlformats.org/officeDocument/2006/docPropsVTypes">
  <Template>Normal.dot</Template>
  <Company>Lenovo</Company>
  <Pages>5</Pages>
  <Words>314</Words>
  <Characters>1794</Characters>
  <Lines>14</Lines>
  <Paragraphs>4</Paragraphs>
  <TotalTime>4</TotalTime>
  <ScaleCrop>false</ScaleCrop>
  <LinksUpToDate>false</LinksUpToDate>
  <CharactersWithSpaces>2104</CharactersWithSpaces>
  <Application>WPS Office_11.1.0.8765_F1E327BC-269C-435d-A152-05C5408002CA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2021-04-23T07:42:00Z</dcterms:created>
  <dc:creator>yss</dc:creator>
  <cp:lastModifiedBy>Administrator</cp:lastModifiedBy>
  <cp:lastPrinted>2411-12-31T16:00:00Z</cp:lastPrinted>
  <dcterms:modified xsi:type="dcterms:W3CDTF">2024-03-12T07:42:05Z</dcterms:modified>
  <dc:title>gongGaoMingCheng</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y fmtid="{D5CDD505-2E9C-101B-9397-08002B2CF9AE}" pid="3" name="Generator">
    <vt:lpwstr>NPOI</vt:lpwstr>
  </property>
  <property fmtid="{D5CDD505-2E9C-101B-9397-08002B2CF9AE}" pid="4" name="Generator Version">
    <vt:lpwstr>2.2.1</vt:lpwstr>
  </property>
</Properties>
</file>