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德清农商银行丰收信福2023年第1</w:t>
      </w:r>
      <w:r>
        <w:rPr>
          <w:rFonts w:hint="eastAsia" w:ascii="黑体" w:hAnsi="宋体" w:eastAsia="黑体"/>
          <w:b/>
          <w:bCs/>
          <w:color w:val="000000"/>
          <w:sz w:val="48"/>
          <w:szCs w:val="48"/>
          <w:lang w:val="en-US" w:eastAsia="zh-CN"/>
        </w:rPr>
        <w:t>6</w:t>
      </w:r>
      <w:r>
        <w:rPr>
          <w:rFonts w:hint="eastAsia" w:ascii="黑体" w:hAnsi="宋体" w:eastAsia="黑体"/>
          <w:b/>
          <w:bCs/>
          <w:color w:val="000000"/>
          <w:sz w:val="48"/>
          <w:szCs w:val="48"/>
        </w:rPr>
        <w:t>期封闭净值型人民币理财产品</w:t>
      </w:r>
    </w:p>
    <w:p>
      <w:pPr>
        <w:jc w:val="center"/>
        <w:rPr>
          <w:rFonts w:ascii="宋体" w:hAnsi="宋体"/>
          <w:b/>
          <w:bCs/>
          <w:sz w:val="28"/>
          <w:szCs w:val="30"/>
        </w:rPr>
      </w:pPr>
      <w:r>
        <w:rPr>
          <w:rFonts w:hint="eastAsia" w:ascii="黑体" w:hAnsi="Times New Roman" w:eastAsia="黑体"/>
          <w:b/>
          <w:sz w:val="44"/>
          <w:szCs w:val="48"/>
        </w:rPr>
        <w:t>2023年第</w:t>
      </w:r>
      <w:r>
        <w:rPr>
          <w:rFonts w:hint="eastAsia" w:ascii="黑体" w:eastAsia="黑体"/>
          <w:b/>
          <w:sz w:val="44"/>
          <w:szCs w:val="48"/>
          <w:lang w:eastAsia="zh-CN"/>
        </w:rPr>
        <w:t>四</w:t>
      </w:r>
      <w:r>
        <w:rPr>
          <w:rFonts w:hint="eastAsia" w:ascii="黑体" w:hAnsi="Times New Roman" w:eastAsia="黑体"/>
          <w:b/>
          <w:sz w:val="44"/>
          <w:szCs w:val="48"/>
        </w:rPr>
        <w:t>季度报告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自2023-10-01起至2023-12-31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3</w:t>
            </w:r>
            <w:r>
              <w:rPr>
                <w:rFonts w:hint="eastAsia" w:ascii="宋体" w:hAnsi="宋体"/>
              </w:rPr>
              <w:t>年第</w:t>
            </w:r>
            <w:r>
              <w:rPr>
                <w:rFonts w:hint="eastAsia" w:ascii="宋体" w:hAnsi="宋体"/>
                <w:lang w:val="en-US" w:eastAsia="zh-CN"/>
              </w:rPr>
              <w:t>16</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C1124623000014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2023-03-16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2024-05-24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1,690,000.00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[3.6%-3.9%]/年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hint="eastAsia" w:ascii="宋体" w:hAnsi="宋体"/>
                <w:lang w:eastAsia="zh-CN"/>
              </w:rPr>
              <w:t>摊余成本</w:t>
            </w:r>
            <w:r>
              <w:rPr>
                <w:rFonts w:ascii="宋体" w:hAnsi="宋体"/>
              </w:rPr>
              <w: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2023-10-01</w:t>
            </w:r>
            <w:r>
              <w:rPr>
                <w:rFonts w:hint="eastAsia" w:ascii="宋体" w:hAnsi="宋体"/>
              </w:rPr>
              <w:t>至</w:t>
            </w:r>
            <w:r>
              <w:rPr>
                <w:rFonts w:ascii="宋体" w:hAnsi="宋体"/>
              </w:rPr>
              <w:t>2023-12-31</w:t>
            </w:r>
            <w:r>
              <w:rPr>
                <w:rFonts w:hint="eastAsia" w:ascii="宋体" w:hAnsi="宋体"/>
              </w:rPr>
              <w:t>）</w:t>
            </w:r>
          </w:p>
        </w:tc>
        <w:tc>
          <w:tcPr>
            <w:tcW w:w="5103" w:type="dxa"/>
            <w:vAlign w:val="center"/>
          </w:tcPr>
          <w:p>
            <w:pPr>
              <w:jc w:val="right"/>
            </w:pPr>
            <w: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2.79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2023-10-01</w:t>
            </w:r>
            <w:r>
              <w:rPr>
                <w:rFonts w:hint="eastAsia"/>
                <w:b/>
              </w:rPr>
              <w:t xml:space="preserve">至 </w:t>
            </w:r>
            <w:r>
              <w:rPr>
                <w:b/>
              </w:rPr>
              <w:t>2023-12-31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17,003.68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1,737,285.15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1.0279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1,704,421.28</w:t>
            </w:r>
          </w:p>
        </w:tc>
        <w:tc>
          <w:tcPr>
            <w:tcW w:w="1705" w:type="dxa"/>
            <w:vAlign w:val="center"/>
          </w:tcPr>
          <w:p>
            <w:pPr>
              <w:jc w:val="right"/>
            </w:pPr>
            <w:r>
              <w:t>98.10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1,704,421.28</w:t>
            </w:r>
          </w:p>
        </w:tc>
        <w:tc>
          <w:tcPr>
            <w:tcW w:w="1705" w:type="dxa"/>
            <w:vAlign w:val="center"/>
          </w:tcPr>
          <w:p>
            <w:pPr>
              <w:jc w:val="right"/>
            </w:pPr>
            <w:r>
              <w:t>98.10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34,112.23</w:t>
            </w:r>
          </w:p>
        </w:tc>
        <w:tc>
          <w:tcPr>
            <w:tcW w:w="1705" w:type="dxa"/>
            <w:vAlign w:val="center"/>
          </w:tcPr>
          <w:p>
            <w:pPr>
              <w:jc w:val="right"/>
            </w:pPr>
            <w: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1,737,489.00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1,737,489.00</w:t>
            </w:r>
          </w:p>
        </w:tc>
        <w:tc>
          <w:tcPr>
            <w:tcW w:w="1749" w:type="dxa"/>
            <w:shd w:val="clear" w:color="auto" w:fill="auto"/>
          </w:tcPr>
          <w:p>
            <w:pPr>
              <w:jc w:val="right"/>
            </w:pPr>
            <w:r>
              <w:t>100.00</w:t>
            </w:r>
          </w:p>
        </w:tc>
        <w:tc>
          <w:tcPr>
            <w:tcW w:w="1653" w:type="dxa"/>
          </w:tcPr>
          <w:p>
            <w:pPr>
              <w:jc w:val="right"/>
            </w:pPr>
            <w:r>
              <w:t>1,738,533.52</w:t>
            </w:r>
          </w:p>
        </w:tc>
        <w:tc>
          <w:tcPr>
            <w:tcW w:w="1705" w:type="dxa"/>
          </w:tcPr>
          <w:p>
            <w:pPr>
              <w:jc w:val="right"/>
            </w:pPr>
            <w:r>
              <w:t>100.06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keepLines/>
        <w:spacing w:line="360" w:lineRule="auto"/>
        <w:ind w:firstLine="420" w:firstLineChars="200"/>
        <w:outlineLvl w:val="0"/>
        <w:rPr>
          <w:rFonts w:asciiTheme="minorEastAsia" w:hAnsiTheme="minorEastAsia" w:eastAsiaTheme="minorEastAsia"/>
          <w:sz w:val="24"/>
        </w:rPr>
      </w:pPr>
      <w:r>
        <w:rPr>
          <w:rFonts w:hint="eastAsia" w:ascii="宋体" w:hAnsi="宋体" w:eastAsia="宋体"/>
          <w:szCs w:val="21"/>
          <w:lang w:eastAsia="zh-CN"/>
        </w:rPr>
        <w:t>报告期内，本产品未发生重大流动性风险事件。</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中信证券丰收信丰6号集合资产管理计划</w:t>
            </w:r>
          </w:p>
        </w:tc>
        <w:tc>
          <w:tcPr>
            <w:tcW w:w="2693" w:type="dxa"/>
            <w:shd w:val="clear" w:color="auto" w:fill="auto"/>
            <w:vAlign w:val="center"/>
          </w:tcPr>
          <w:p>
            <w:pPr>
              <w:jc w:val="right"/>
            </w:pPr>
            <w:r>
              <w:t>1,737,489.00</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23合川投资CP001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172,484.43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9.93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23渝合D1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171,981.51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9.90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23青即D1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171,405.20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21青岛海创PPN001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170,405.97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9.81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21新高01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163,720.86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9.42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23长交F3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163,507.58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9.41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21市北01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163,088.71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9.39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21青控01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159,791.64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23高新D1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158,488.52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9.12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21崇德投资PPN001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121,325.35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6.98</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2024-01-</w:t>
      </w:r>
      <w:r>
        <w:rPr>
          <w:rFonts w:hint="eastAsia" w:ascii="宋体" w:hAnsi="宋体"/>
          <w:sz w:val="28"/>
          <w:szCs w:val="28"/>
          <w:lang w:val="en-US" w:eastAsia="zh-CN"/>
        </w:rPr>
        <w:t>22</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4A5A0BE7"/>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2024-01-22T02:33:37Z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