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rPr>
          <w:rFonts w:ascii="宋体" w:hAnsi="宋体"/>
          <w:b/>
          <w:bCs/>
          <w:sz w:val="48"/>
          <w:szCs w:val="30"/>
        </w:rPr>
      </w:pPr>
      <w:r>
        <w:rPr>
          <w:rFonts w:ascii="宋体" w:hAnsi="宋体"/>
          <w:b/>
          <w:bCs/>
          <w:sz w:val="48"/>
          <w:szCs w:val="30"/>
        </w:rPr>
        <w:t>2023年年度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自2023-01-01起至2023-12-31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20,240,000.00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2023-01-01</w:t>
            </w:r>
            <w:r>
              <w:rPr>
                <w:rFonts w:hint="eastAsia" w:ascii="宋体" w:hAnsi="宋体"/>
              </w:rPr>
              <w:t>至</w:t>
            </w:r>
            <w:r>
              <w:rPr>
                <w:rFonts w:ascii="宋体" w:hAnsi="宋体"/>
              </w:rPr>
              <w:t>2023-12-31</w:t>
            </w:r>
            <w:r>
              <w:rPr>
                <w:rFonts w:hint="eastAsia" w:ascii="宋体" w:hAnsi="宋体"/>
              </w:rPr>
              <w:t>）</w:t>
            </w:r>
          </w:p>
        </w:tc>
        <w:tc>
          <w:tcPr>
            <w:tcW w:w="5103" w:type="dxa"/>
            <w:vAlign w:val="center"/>
          </w:tcPr>
          <w:p>
            <w:pPr>
              <w:jc w:val="right"/>
            </w:pPr>
            <w:r>
              <w:t>3.12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6.42</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2023-01-01</w:t>
            </w:r>
            <w:r>
              <w:rPr>
                <w:rFonts w:hint="eastAsia"/>
                <w:b/>
              </w:rPr>
              <w:t xml:space="preserve">至 </w:t>
            </w:r>
            <w:r>
              <w:rPr>
                <w:b/>
              </w:rPr>
              <w:t>2023-12-31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723,670.31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734,792.31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20,279,506.79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2,194,804.05</w:t>
            </w:r>
          </w:p>
        </w:tc>
        <w:tc>
          <w:tcPr>
            <w:tcW w:w="1705" w:type="dxa"/>
            <w:vAlign w:val="center"/>
          </w:tcPr>
          <w:p>
            <w:pPr>
              <w:jc w:val="right"/>
            </w:pPr>
            <w:r>
              <w:t>10.82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8,819,670.68</w:t>
            </w:r>
          </w:p>
        </w:tc>
        <w:tc>
          <w:tcPr>
            <w:tcW w:w="1705" w:type="dxa"/>
            <w:vAlign w:val="center"/>
          </w:tcPr>
          <w:p>
            <w:pPr>
              <w:jc w:val="right"/>
            </w:pPr>
            <w:r>
              <w:t>43.48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8,819,670.68</w:t>
            </w:r>
          </w:p>
        </w:tc>
        <w:tc>
          <w:tcPr>
            <w:tcW w:w="1705" w:type="dxa"/>
            <w:vAlign w:val="center"/>
          </w:tcPr>
          <w:p>
            <w:pPr>
              <w:jc w:val="right"/>
            </w:pPr>
            <w:r>
              <w:t>43.48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9,109,278.14</w:t>
            </w:r>
          </w:p>
        </w:tc>
        <w:tc>
          <w:tcPr>
            <w:tcW w:w="1705" w:type="dxa"/>
            <w:vAlign w:val="center"/>
          </w:tcPr>
          <w:p>
            <w:pPr>
              <w:jc w:val="right"/>
            </w:pPr>
            <w:r>
              <w:t>44.91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174,995.17</w:t>
            </w:r>
          </w:p>
        </w:tc>
        <w:tc>
          <w:tcPr>
            <w:tcW w:w="1705" w:type="dxa"/>
            <w:vAlign w:val="center"/>
          </w:tcPr>
          <w:p>
            <w:pPr>
              <w:jc w:val="right"/>
            </w:pPr>
            <w: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20,282,504.00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834.75</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20,282,504.00</w:t>
            </w:r>
          </w:p>
        </w:tc>
        <w:tc>
          <w:tcPr>
            <w:tcW w:w="1749" w:type="dxa"/>
            <w:shd w:val="clear" w:color="auto" w:fill="auto"/>
          </w:tcPr>
          <w:p>
            <w:pPr>
              <w:jc w:val="right"/>
            </w:pPr>
            <w:r>
              <w:t>100.00</w:t>
            </w:r>
          </w:p>
        </w:tc>
        <w:tc>
          <w:tcPr>
            <w:tcW w:w="1653" w:type="dxa"/>
          </w:tcPr>
          <w:p>
            <w:pPr>
              <w:jc w:val="right"/>
            </w:pPr>
            <w:r>
              <w:t>20,299,582.78</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80" w:firstLineChars="200"/>
        <w:jc w:val="left"/>
        <w:textAlignment w:val="auto"/>
        <w:rPr>
          <w:rFonts w:hint="eastAsia" w:asciiTheme="minorEastAsia" w:hAnsiTheme="minorEastAsia" w:eastAsiaTheme="minorEastAsia"/>
          <w:szCs w:val="21"/>
        </w:rPr>
      </w:pPr>
      <w:r>
        <w:rPr>
          <w:rFonts w:hint="eastAsia" w:ascii="宋体" w:hAnsi="宋体"/>
          <w:sz w:val="24"/>
        </w:rPr>
        <w:t xml:space="preserve"> </w:t>
      </w: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宋体" w:hAnsi="宋体"/>
          <w:sz w:val="24"/>
        </w:rPr>
      </w:pPr>
      <w:r>
        <w:rPr>
          <w:rFonts w:hint="eastAsia" w:ascii="宋体" w:hAnsi="宋体"/>
          <w:sz w:val="24"/>
          <w:lang w:eastAsia="zh-CN"/>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20,282,504.00</w:t>
            </w:r>
          </w:p>
        </w:tc>
        <w:tc>
          <w:tcPr>
            <w:tcW w:w="2431" w:type="dxa"/>
            <w:shd w:val="clear" w:color="auto" w:fill="auto"/>
            <w:vAlign w:val="center"/>
          </w:tcPr>
          <w:p>
            <w:pPr>
              <w:jc w:val="right"/>
            </w:pPr>
            <w:bookmarkStart w:id="3" w:name="OLE_LINK6"/>
            <w:bookmarkStart w:id="4" w:name="OLE_LINK5"/>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5,078,859.08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银行间质押式回购</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4,030,419.06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21瀚瑞投资PPN001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1,108,995.10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泰信添鑫中短债A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955,184.28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23贴现国债65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691,668.78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23渝合D1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541,990.92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23腾海投资PPN001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538,537.52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23创鸿资产SCP001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529,537.03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521,361.35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23长资D1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363,183.28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w:t>
      </w:r>
      <w:r>
        <w:rPr>
          <w:rFonts w:hint="eastAsia" w:ascii="宋体" w:hAnsi="宋体"/>
          <w:sz w:val="28"/>
          <w:szCs w:val="28"/>
          <w:lang w:val="en-US" w:eastAsia="zh-CN"/>
        </w:rPr>
        <w:t>3</w:t>
      </w:r>
      <w:r>
        <w:rPr>
          <w:rFonts w:ascii="宋体" w:hAnsi="宋体"/>
          <w:sz w:val="28"/>
          <w:szCs w:val="28"/>
        </w:rPr>
        <w:t>-1</w:t>
      </w:r>
      <w:r>
        <w:rPr>
          <w:rFonts w:hint="eastAsia" w:ascii="宋体" w:hAnsi="宋体"/>
          <w:sz w:val="28"/>
          <w:szCs w:val="28"/>
          <w:lang w:val="en-US" w:eastAsia="zh-CN"/>
        </w:rPr>
        <w:t>2</w:t>
      </w:r>
      <w:bookmarkStart w:id="5" w:name="_GoBack"/>
      <w:bookmarkEnd w:id="5"/>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CD544DD"/>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uiPriority w:val="0"/>
    <w:pPr>
      <w:shd w:val="clear" w:color="auto" w:fill="000080"/>
    </w:pPr>
  </w:style>
  <w:style w:type="paragraph" w:styleId="7">
    <w:name w:val="annotation text"/>
    <w:basedOn w:val="1"/>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uiPriority w:val="0"/>
    <w:rPr>
      <w:sz w:val="18"/>
      <w:szCs w:val="18"/>
    </w:rPr>
  </w:style>
  <w:style w:type="paragraph" w:styleId="10">
    <w:name w:val="footer"/>
    <w:basedOn w:val="1"/>
    <w:uiPriority w:val="0"/>
    <w:pPr>
      <w:tabs>
        <w:tab w:val="center" w:pos="4153"/>
        <w:tab w:val="right" w:pos="8306"/>
      </w:tabs>
      <w:snapToGrid w:val="0"/>
      <w:jc w:val="left"/>
    </w:pPr>
    <w:rPr>
      <w:sz w:val="18"/>
      <w:szCs w:val="18"/>
    </w:rPr>
  </w:style>
  <w:style w:type="paragraph" w:styleId="11">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uiPriority w:val="0"/>
    <w:pPr>
      <w:snapToGrid w:val="0"/>
      <w:jc w:val="left"/>
    </w:pPr>
    <w:rPr>
      <w:sz w:val="18"/>
      <w:szCs w:val="18"/>
      <w:lang w:val="zh-CN" w:eastAsia="zh-CN"/>
    </w:rPr>
  </w:style>
  <w:style w:type="paragraph" w:styleId="14">
    <w:name w:val="Normal (Web)"/>
    <w:basedOn w:val="1"/>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uiPriority w:val="0"/>
    <w:rPr>
      <w:b/>
      <w:bCs/>
    </w:rPr>
  </w:style>
  <w:style w:type="table" w:styleId="18">
    <w:name w:val="Table Grid"/>
    <w:basedOn w:val="17"/>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uiPriority w:val="0"/>
  </w:style>
  <w:style w:type="character" w:styleId="21">
    <w:name w:val="annotation reference"/>
    <w:uiPriority w:val="0"/>
    <w:rPr>
      <w:sz w:val="21"/>
      <w:szCs w:val="21"/>
    </w:rPr>
  </w:style>
  <w:style w:type="character" w:styleId="22">
    <w:name w:val="footnote reference"/>
    <w:qFormat/>
    <w:uiPriority w:val="0"/>
    <w:rPr>
      <w:vertAlign w:val="superscript"/>
    </w:rPr>
  </w:style>
  <w:style w:type="character" w:customStyle="1" w:styleId="23">
    <w:name w:val="标题 3 Char"/>
    <w:link w:val="4"/>
    <w:uiPriority w:val="9"/>
    <w:rPr>
      <w:b/>
      <w:bCs/>
      <w:sz w:val="32"/>
      <w:szCs w:val="32"/>
    </w:rPr>
  </w:style>
  <w:style w:type="character" w:customStyle="1" w:styleId="24">
    <w:name w:val="CODE"/>
    <w:uiPriority w:val="0"/>
    <w:rPr>
      <w:rFonts w:ascii="Courier New" w:hAnsi="Courier New"/>
      <w:spacing w:val="-10"/>
      <w:sz w:val="20"/>
      <w:lang w:val="en-GB" w:eastAsia="zh-CN"/>
    </w:rPr>
  </w:style>
  <w:style w:type="character" w:customStyle="1" w:styleId="25">
    <w:name w:val="副标题 Char"/>
    <w:link w:val="12"/>
    <w:uiPriority w:val="0"/>
    <w:rPr>
      <w:rFonts w:ascii="Cambria" w:hAnsi="Cambria" w:eastAsia="宋体" w:cs="Times New Roman"/>
      <w:b/>
      <w:kern w:val="28"/>
      <w:sz w:val="24"/>
      <w:szCs w:val="32"/>
    </w:rPr>
  </w:style>
  <w:style w:type="character" w:customStyle="1" w:styleId="26">
    <w:name w:val="标题 1 Char"/>
    <w:link w:val="2"/>
    <w:uiPriority w:val="9"/>
    <w:rPr>
      <w:b/>
      <w:bCs/>
      <w:kern w:val="44"/>
      <w:sz w:val="44"/>
      <w:szCs w:val="44"/>
    </w:rPr>
  </w:style>
  <w:style w:type="character" w:customStyle="1" w:styleId="27">
    <w:name w:val="标题 2 Char"/>
    <w:link w:val="3"/>
    <w:uiPriority w:val="9"/>
    <w:rPr>
      <w:rFonts w:ascii="Cambria" w:hAnsi="Cambria" w:eastAsia="宋体" w:cs="Times New Roman"/>
      <w:b/>
      <w:bCs/>
      <w:sz w:val="32"/>
      <w:szCs w:val="32"/>
    </w:rPr>
  </w:style>
  <w:style w:type="character" w:customStyle="1" w:styleId="28">
    <w:name w:val="标题 Char"/>
    <w:link w:val="15"/>
    <w:uiPriority w:val="10"/>
    <w:rPr>
      <w:rFonts w:ascii="Cambria" w:hAnsi="Cambria" w:cs="Times New Roman"/>
      <w:b/>
      <w:bCs/>
      <w:sz w:val="32"/>
      <w:szCs w:val="32"/>
    </w:rPr>
  </w:style>
  <w:style w:type="paragraph" w:customStyle="1" w:styleId="29">
    <w:name w:val="xl33"/>
    <w:basedOn w:val="1"/>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uiPriority w:val="0"/>
    <w:pPr>
      <w:jc w:val="left"/>
    </w:pPr>
    <w:rPr>
      <w:rFonts w:ascii="宋体" w:hAnsi="宋体"/>
      <w:sz w:val="24"/>
      <w:szCs w:val="24"/>
    </w:rPr>
  </w:style>
  <w:style w:type="paragraph" w:customStyle="1" w:styleId="32">
    <w:name w:val="Char"/>
    <w:basedOn w:val="1"/>
    <w:uiPriority w:val="0"/>
  </w:style>
  <w:style w:type="character" w:customStyle="1" w:styleId="33">
    <w:name w:val="标题 4 Char"/>
    <w:link w:val="5"/>
    <w:semiHidden/>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uiPriority w:val="0"/>
  </w:style>
  <w:style w:type="paragraph" w:customStyle="1" w:styleId="51">
    <w:name w:val="xbrltitle2"/>
    <w:basedOn w:val="1"/>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7</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2024-03-12T07:42:34Z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