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ascii="宋体" w:hAnsi="宋体"/>
          <w:b/>
          <w:bCs/>
          <w:sz w:val="28"/>
          <w:szCs w:val="30"/>
        </w:rPr>
      </w:pPr>
      <w:r>
        <w:rPr>
          <w:rFonts w:hint="eastAsia" w:ascii="黑体" w:hAnsi="Times New Roman" w:eastAsia="黑体"/>
          <w:b/>
          <w:sz w:val="44"/>
          <w:szCs w:val="48"/>
        </w:rPr>
        <w:t>202</w:t>
      </w:r>
      <w:r>
        <w:rPr>
          <w:rFonts w:hint="eastAsia" w:ascii="黑体" w:eastAsia="黑体"/>
          <w:b/>
          <w:sz w:val="44"/>
          <w:szCs w:val="48"/>
          <w:lang w:val="en-US" w:eastAsia="zh-CN"/>
        </w:rPr>
        <w:t>4</w:t>
      </w:r>
      <w:r>
        <w:rPr>
          <w:rFonts w:hint="eastAsia" w:ascii="黑体" w:hAnsi="Times New Roman" w:eastAsia="黑体"/>
          <w:b/>
          <w:sz w:val="44"/>
          <w:szCs w:val="48"/>
        </w:rPr>
        <w:t>年第</w:t>
      </w:r>
      <w:r>
        <w:rPr>
          <w:rFonts w:hint="eastAsia" w:ascii="黑体" w:eastAsia="黑体"/>
          <w:b/>
          <w:sz w:val="44"/>
          <w:szCs w:val="48"/>
          <w:lang w:eastAsia="zh-CN"/>
        </w:rPr>
        <w:t>一</w:t>
      </w:r>
      <w:r>
        <w:rPr>
          <w:rFonts w:hint="eastAsia" w:ascii="黑体" w:hAnsi="Times New Roman" w:eastAsia="黑体"/>
          <w:b/>
          <w:sz w:val="44"/>
          <w:szCs w:val="48"/>
        </w:rPr>
        <w:t>季度报告</w:t>
      </w: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19,350,000.00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2024-03-31</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6.97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153,039.61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112,470.61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19,351,471.19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6,479,980.15</w:t>
            </w:r>
          </w:p>
        </w:tc>
        <w:tc>
          <w:tcPr>
            <w:tcW w:w="1705" w:type="dxa"/>
            <w:vAlign w:val="center"/>
          </w:tcPr>
          <w:p>
            <w:pPr>
              <w:jc w:val="right"/>
            </w:pPr>
            <w:r>
              <w:t>33.48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9,488,422.70</w:t>
            </w:r>
          </w:p>
        </w:tc>
        <w:tc>
          <w:tcPr>
            <w:tcW w:w="1705" w:type="dxa"/>
            <w:vAlign w:val="center"/>
          </w:tcPr>
          <w:p>
            <w:pPr>
              <w:jc w:val="right"/>
            </w:pPr>
            <w:r>
              <w:t>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9,488,422.70</w:t>
            </w:r>
          </w:p>
        </w:tc>
        <w:tc>
          <w:tcPr>
            <w:tcW w:w="1705" w:type="dxa"/>
            <w:vAlign w:val="center"/>
          </w:tcPr>
          <w:p>
            <w:pPr>
              <w:jc w:val="right"/>
            </w:pPr>
            <w:r>
              <w:t>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3,092,912.42</w:t>
            </w:r>
          </w:p>
        </w:tc>
        <w:tc>
          <w:tcPr>
            <w:tcW w:w="1705" w:type="dxa"/>
            <w:vAlign w:val="center"/>
          </w:tcPr>
          <w:p>
            <w:pPr>
              <w:jc w:val="right"/>
            </w:pPr>
            <w: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308,155.57</w:t>
            </w:r>
          </w:p>
        </w:tc>
        <w:tc>
          <w:tcPr>
            <w:tcW w:w="1705" w:type="dxa"/>
            <w:vAlign w:val="center"/>
          </w:tcPr>
          <w:p>
            <w:pPr>
              <w:jc w:val="right"/>
            </w:pPr>
            <w: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19,351,935.00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359.69</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19,351,935.00</w:t>
            </w:r>
          </w:p>
        </w:tc>
        <w:tc>
          <w:tcPr>
            <w:tcW w:w="1749" w:type="dxa"/>
            <w:shd w:val="clear" w:color="auto" w:fill="auto"/>
          </w:tcPr>
          <w:p>
            <w:pPr>
              <w:jc w:val="right"/>
            </w:pPr>
            <w:r>
              <w:t>100.00</w:t>
            </w:r>
          </w:p>
        </w:tc>
        <w:tc>
          <w:tcPr>
            <w:tcW w:w="1653" w:type="dxa"/>
          </w:tcPr>
          <w:p>
            <w:pPr>
              <w:jc w:val="right"/>
            </w:pPr>
            <w:r>
              <w:t>19,369,830.53</w:t>
            </w:r>
          </w:p>
        </w:tc>
        <w:tc>
          <w:tcPr>
            <w:tcW w:w="1705" w:type="dxa"/>
          </w:tcPr>
          <w:p>
            <w:pPr>
              <w:jc w:val="right"/>
            </w:pPr>
            <w:r>
              <w:t>100.09</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lang w:eastAsia="zh-CN"/>
        </w:rPr>
        <w:t>报告期内，本产品未发生重大流动性风险事件。</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19,351,935.00</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上交所质押式回购</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3,092,912.42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泰信天天收益B</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1,046,489.45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诺德货币B</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1,045,690.76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泰信添鑫中短债A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893,803.89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光大货币B</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837,253.40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24瀚控D1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670,158.79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23腾海投资PPN001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656,495.72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渤海汇金汇添金B</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644,362.25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23沛兴D</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635,995.58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24恒业D1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605,418.39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9284826"/>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2024-04-23T07:19:00Z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