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2023年第一季度报告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兴银理财添利10号净值型理财产品 </w:t>
              <w:br/>
              <w:t xml:space="preserve">2023年第一季度报告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报告送出日期：2023年4月23日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2023年第一季度报告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br/>
              <w:t xml:space="preserve">     7. 影响理财份额投资人决策的其他重要信息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33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2023年第一季度报告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兴银理财添利10号净值型理财产品 </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9B310090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Z7002021000107</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47,290,794,883.84份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通知存款七天+浮动基数0%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R1</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2400"/>
        </w:trPr>
        <w:tc>
          <w:tcPr>
     </w:tcPr>
          <w:p>
            <w:pPr>
              <w:pStyle w:val="EMPTY_CELL_STYLE"/>
            </w:pPr>
          </w:p>
        </w:tc>
        <w:tc>
          <w:tcPr>
            <w:gridSpan w:val="5"/>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兴银添利10号A</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9B31009A</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12,175,242,686.21</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兴银添利10号B</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9B31009B</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4,707,199,612.21</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兴银添利10号C</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9B31009C</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22,634,542,735.37</w:t>
                        </w:r>
                      </w:p>
                    </w:tc>
                  </w:tr>
                </w:tbl>
                <w:p>
                  <w:pPr>
                    <w:pStyle w:val="EMPTY_CELL_STYLE"/>
                  </w:pPr>
                </w:p>
              </w:tc>
            </w:tr>
          </w:tbl>
          <w:p>
            <w:pPr>
              <w:pStyle w:val="EMPTY_CELL_STYLE"/>
            </w:pPr>
          </w:p>
        </w:tc>
        <w:tc>
          <w:tcPr>
     </w:tcPr>
          <w:p>
            <w:pPr>
              <w:pStyle w:val="EMPTY_CELL_STYLE"/>
            </w:pPr>
          </w:p>
        </w:tc>
      </w:tr>
      <w:tr>
        <w:trPr>
          <w:trHeight w:hRule="exact" w:val="5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r>
    </w:tbl>
    <w:tbl>
      <w:tblPr>
        <w:tblLayout w:type="fixed"/>
      </w:tblPr>
      <w:tblGrid>
        <w:gridCol w:w="1"/>
        <w:gridCol w:w="3400"/>
        <w:gridCol w:w="2000"/>
        <w:gridCol w:w="2000"/>
        <w:gridCol w:w="3200"/>
        <w:gridCol w:w="10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2023年第一季度报告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4800"/>
        </w:trPr>
        <w:tc>
          <w:tcPr>
     </w:tcPr>
          <w:p>
            <w:pPr>
              <w:pStyle w:val="EMPTY_CELL_STYLE"/>
            </w:pPr>
          </w:p>
        </w:tc>
        <w:tc>
          <w:tcPr>
            <w:gridSpan w:val="5"/>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兴银添利10号D </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9B31009D</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87,760,797.03</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兴银添利10号E</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9B31009E</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293,787,178.57</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兴银添利10号F</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9B31009F</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4,246,661,794.14</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兴银添利10号G</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9B31009G</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421,694,136.76</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兴银添利10号H</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9B31009H</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546,700,155.20</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兴银添利10号J</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9B31009J</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2,163,496,243.84</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兴银添利10号K</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9B31009K</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13,709,544.51</w:t>
                        </w:r>
                      </w:p>
                    </w:tc>
                  </w:tr>
                </w:tbl>
                <w:p>
                  <w:pPr>
                    <w:pStyle w:val="EMPTY_CELL_STYLE"/>
                  </w:pP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40"/>
        </w:trPr>
        <w:tc>
          <w:tcPr>
     </w:tcPr>
          <w:p>
            <w:pPr>
              <w:pStyle w:val="EMPTY_CELL_STYLE"/>
            </w:pPr>
          </w:p>
        </w:tc>
        <w:tc>
          <w:tcPr>
            <w:gridSpan w:val="5"/>
            <w:tcMar>
              <w:top w:w="0" w:type="dxa"/>
              <w:left w:w="0" w:type="dxa"/>
              <w:bottom w:w="0" w:type="dxa"/>
              <w:right w:w="0" w:type="dxa"/>
            </w:tcMar>
            <w:vAlign w:val="center"/>
          </w:tcPr>
          <w:p>
            <w:pPr>
              <w:ind w:firstLine="0"/>
              <w:spacing w:lineRule="exact" w:line="320" w:after="0" w:before="0"/>
            </w:pPr>
            <w:r>
              <w:rPr>
                <w:rFonts w:ascii="宋体" w:hAnsi="宋体" w:eastAsia="宋体" w:cs="宋体"/>
                <w:color w:val="000000"/>
                <w:sz w:val="21"/>
              </w:rPr>
              <w:t xml:space="preserve">    报告期内，9B31009A七日年化收益率均值2.2379%，9B31009B七日年化收益率均值2.4960%，9B31009C七日年化收益率均值2.4448%，9B31009D七日年化收益率均值2.2382%，9B31009E七日年化收益率均值2.3407%，9B31009F七日年化收益率均值2.3428%，9B31009G七日年化收益率均值2.4943%，9B31009H七日年化收益率均值2.4402%，9B31009J七日年化收益率均值2.4957%，9B31009K七日年化收益率均值2.5383%。同期业绩比较基准如下：</w:t>
            </w: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200"/>
        </w:trPr>
        <w:tc>
          <w:tcPr>
     </w:tcPr>
          <w:p>
            <w:pPr>
              <w:pStyle w:val="EMPTY_CELL_STYLE"/>
            </w:pPr>
          </w:p>
        </w:tc>
        <w:tc>
          <w:tcPr>
            <w:gridSpan w:val="4"/>
            <w:tcMar>
              <w:top w:w="0" w:type="dxa"/>
              <w:left w:w="0" w:type="dxa"/>
              <w:bottom w:w="0" w:type="dxa"/>
              <w:right w:w="0" w:type="dxa"/>
            </w:tcMar>
          </w:tcPr>
          <w:tbl>
            <w:tblPr>
              <w:tblLayout w:type="fixed"/>
            </w:tblPr>
            <w:tblGrid>
              <w:gridCol w:w="2000"/>
              <w:gridCol w:w="4000"/>
              <w:gridCol w:w="4600"/>
            </w:tblGrid>
            <w:tr>
              <w:trPr>
                <w:trHeight w:hRule="exact" w:val="600"/>
              </w:trPr>
              <w:tc>
                <w:tcPr>
                  <w:shd w:val="clear" w:color="auto" w:fill="AFAFA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AFAFA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b w:val="true"/>
                          </w:rPr>
                          <w:t xml:space="preserve">适用期间</w:t>
                        </w:r>
                      </w:p>
                    </w:tc>
                  </w:tr>
                </w:tbl>
                <w:p>
                  <w:pPr>
                    <w:pStyle w:val="EMPTY_CELL_STYLE"/>
                  </w:pPr>
                </w:p>
              </w:tc>
              <w:tc>
                <w:tcPr>
                  <w:shd w:val="clear" w:color="auto" w:fill="AFAFA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b w:val="true"/>
                          </w:rPr>
                          <w:t xml:space="preserve">业绩比较基准</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2023-01-01至2023-03-31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9B31009A</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2023-01-01至2023-03-31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9B31009B</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2023-01-01至2023-03-31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9B31009C</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2023-01-01至2023-03-31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9B31009D</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2023-01-01至2023-03-31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9B31009E</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2023-01-01至2023-03-31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9B31009F</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2023-01-01至2023-03-31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9B31009G</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2023-01-01至2023-03-31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9B31009H</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2023-01-01至2023-03-31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9B31009J</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2023-01-01至2023-03-31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9B31009K</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2023-03-14至2023-03-31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4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2023年第一季度报告</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7"/>
            <w:tcMar>
              <w:top w:w="0" w:type="dxa"/>
              <w:left w:w="0" w:type="dxa"/>
              <w:bottom w:w="0" w:type="dxa"/>
              <w:right w:w="0" w:type="dxa"/>
            </w:tcMar>
            <w:vAlign w:val="center"/>
          </w:tcPr>
          <w:p>
            <w:pPr>
              <w:ind/>
            </w:pPr>
            <w:r>
              <w:rPr>
                <w:rFonts w:ascii="宋体" w:hAnsi="宋体" w:eastAsia="宋体" w:cs="宋体"/>
                <w:color w:val="000000"/>
                <w:sz w:val="21"/>
              </w:rPr>
              <w:t xml:space="preserve">报告期末，产品收益具体如下：</w:t>
            </w:r>
          </w:p>
        </w:tc>
        <w:tc>
          <w:tcPr>
     </w:tcPr>
          <w:p>
            <w:pPr>
              <w:pStyle w:val="EMPTY_CELL_STYLE"/>
            </w:pPr>
          </w:p>
        </w:tc>
      </w:tr>
      <w:tr>
        <w:trPr>
          <w:trHeight w:hRule="exact" w:val="1200"/>
        </w:trPr>
        <w:tc>
          <w:tcPr>
     </w:tcPr>
          <w:p>
            <w:pPr>
              <w:pStyle w:val="EMPTY_CELL_STYLE"/>
            </w:pPr>
          </w:p>
        </w:tc>
        <w:tc>
          <w:tcPr>
            <w:gridSpan w:val="5"/>
            <w:tcMar>
              <w:top w:w="0" w:type="dxa"/>
              <w:left w:w="0" w:type="dxa"/>
              <w:bottom w:w="0" w:type="dxa"/>
              <w:right w:w="0" w:type="dxa"/>
            </w:tcMar>
          </w:tcPr>
          <w:tbl>
            <w:tblPr>
              <w:tblLayout w:type="fixed"/>
            </w:tblPr>
            <w:tblGrid>
              <w:gridCol w:w="2000"/>
              <w:gridCol w:w="2200"/>
              <w:gridCol w:w="1800"/>
              <w:gridCol w:w="2000"/>
              <w:gridCol w:w="27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万份收益</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七日年化收益率</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2023年3月31日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0.6094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2.3600%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47,290,794,883.84</w:t>
                        </w: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0"/>
        </w:trPr>
        <w:tc>
          <w:tcPr>
     </w:tcPr>
          <w:p>
            <w:pPr>
              <w:pStyle w:val="EMPTY_CELL_STYLE"/>
            </w:pPr>
          </w:p>
        </w:tc>
        <w:tc>
          <w:tcPr>
            <w:gridSpan w:val="5"/>
            <w:tcMar>
              <w:top w:w="0" w:type="dxa"/>
              <w:left w:w="0" w:type="dxa"/>
              <w:bottom w:w="0" w:type="dxa"/>
              <w:right w:w="0" w:type="dxa"/>
            </w:tcMar>
          </w:tcPr>
          <w:tbl>
            <w:tblPr>
              <w:tblLayout w:type="fixed"/>
            </w:tblPr>
            <w:tblGrid>
              <w:gridCol w:w="2000"/>
              <w:gridCol w:w="2200"/>
              <w:gridCol w:w="1800"/>
              <w:gridCol w:w="2000"/>
              <w:gridCol w:w="27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万份收益</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七日年化收益率</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9B31009A</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2023年3月31日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0.5656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2.2070%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12,175,242,686.21</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9B31009B</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2023年3月31日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0.6390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2.4680%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4,707,199,612.21</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9B31009C</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2023年3月31日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0.6253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2.4170%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22,634,542,735.37</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9B31009D</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2023年3月31日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0.5591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2.1920%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87,760,797.03</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9B31009E</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2023年3月31日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0.5986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2.3150%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293,787,178.57</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9B31009F</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2023年3月31日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0.5985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2.3160%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4,246,661,794.14</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9B31009G</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2023年3月31日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0.6384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2.4670%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421,694,136.76</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9B31009H</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2023年3月31日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0.6252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2.4070%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546,700,155.20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9B31009J</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2023年3月31日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0.6398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2.4700%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2,163,496,243.84</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9B31009K</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2023年3月31日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0.6589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2.5480%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13,709,544.51</w:t>
                        </w: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汪锦女士，上海财经大学管理学学士、经济学硕士，国际金融理财师（CFP），中级经济师职称。银行理财产品创设、投资从业14年。 2008年任上海银行金融市场部同业“利多系列”产品投资经理；2013年加入兴业银行总行资产管理部历任同业“稳增1号”、“稳增2号”投资经理。2016年起，负责资产管理部流动性管理，管理总规模逾万亿，擅长大资金的资产配置和流动性管理；2019年转入兴银理财，现担任兴银理财添利9号、添利5号、添利10号、日日新2号和现金宝4号净值型理财产品投资经理。</w:t>
            </w: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52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 宏观经济及市场情况</w:t>
              <w:br/>
              <w:t xml:space="preserve">    1-2月处于经济数据的空窗期，市场对于疫后经济复苏的预期较强，进入3月后，两会确定全年增长目标为5%左右，随着经济数据和金融数据的发布，交易重心由强复苏预期转为弱预期和弱现实。受到银行信贷投放加速叠加税期影响，资金面波动较大且对央行投放依赖度增加，后3月17日央行降准补充中长期流动性，缓解了市场对于货币政策收紧的担忧。一季度债市整体处于窄幅波动状态， 10年国债在2.81-2.93%区间震荡，短端1年国债利率上行至2.33%随后回落，信用债表现强于利率债，信用利差重回低位。</w:t>
              <w:br/>
              <w:t xml:space="preserve">    展望后市，二季度为经济数据验证期，低基数下同比增速无虞但环比可能放缓，外需受海外衰退担忧和去库存</w:t>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2023年第一季度报告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626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周期影响继续弱势，内需内生动力仍然较弱但边际向好，消费结构性回暖、地产数据有所改善但修复仍需时日。“不大干快上”定调下通胀风险无需过度关注，警惕增量刺激政策出台和监管扰动。前期降准后流动性有望维持稳定，但受税期和高杠杆率影响时点波动可能仍然存在。短期信用债配置价值边际弱化，但受供需格局和资金面预期影响利差可能继续压缩。</w:t>
              <w:br/>
              <w:br/>
              <w:t xml:space="preserve">二 前期运作回顾</w:t>
              <w:br/>
              <w:t xml:space="preserve">    本产品始终将保持流动性安全和防范信用风险作为第一要务，在此基础上通过稳健的投资风格实现相对有竞争力的收益。</w:t>
              <w:br/>
              <w:t xml:space="preserve">    报告期内，产品费率从2月中旬开始调升，导致规模彼时起出现较为明显的下降，特别是季度末，净赎回压力较大。因此，本产品根据自身负债情况，在1、2月份增加了同业存单和信用债配置力度，而在3月由于资金价格抬升，大行缺负债的前提下，将较为有限的配置资金配置于高收益的同业存放资产，保证了产品收益的竞争力。同时，三月月初起，就在交易所、银行间融入大量跨月资金，提前做好产品流动性安排，努力应付产品赎回。</w:t>
              <w:br/>
              <w:br/>
              <w:t xml:space="preserve">三 后期投资策略</w:t>
              <w:br/>
              <w:t xml:space="preserve">    下阶段，本产品仍然会坚持以安全性和流动性优先、兼顾收益性的稳健策略，综合考量各类资产的风险收益特征，根据市场情况灵活把握投资节奏。同时，我们依然要紧盯负债稳定性提前做好流动性预判；此外，同业竞品的收益情况也颇为重要，努力保证我司现金产品收益的竞争力。</w:t>
              <w:br/>
              <w:br/>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投资组合情况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现金及银行存款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45.62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Borders>
                          <w:right w:val="single" w:sz="4" w:space="0" w:color="000000"/>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同业存单</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21.34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Borders>
                          <w:right w:val="single" w:sz="4" w:space="0" w:color="000000"/>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33.04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Borders>
                          <w:right w:val="single" w:sz="4" w:space="0" w:color="000000"/>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Borders>
                          <w:right w:val="single" w:sz="4" w:space="0" w:color="000000"/>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bl>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报告期末本产品总资产未超过该产品净资产规模的120%，符合产品协议对本产品杠杆比例的要求。</w:t>
            </w: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r>
      <w:tr>
        <w:trPr>
          <w:trHeight w:hRule="atLeast" w:val="222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w:t>
            </w: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20"/>
        <w:gridCol w:w="3360"/>
        <w:gridCol w:w="2000"/>
        <w:gridCol w:w="2000"/>
        <w:gridCol w:w="3300"/>
        <w:gridCol w:w="20"/>
        <w:gridCol w:w="2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2023年第一季度报告</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6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行管理，报告期内未发生流动性风险。</w:t>
              <w:br/>
            </w:r>
          </w:p>
        </w:tc>
        <w:tc>
          <w:tcPr>
     </w:tcPr>
          <w:p>
            <w:pPr>
              <w:pStyle w:val="EMPTY_CELL_STYLE"/>
            </w:pPr>
          </w:p>
        </w:tc>
        <w:tc>
          <w:tcPr>
     </w:tcPr>
          <w:p>
            <w:pPr>
              <w:pStyle w:val="EMPTY_CELL_STYLE"/>
            </w:pPr>
          </w:p>
        </w:tc>
      </w:tr>
      <w:tr>
        <w:trPr>
          <w:trHeight w:hRule="exac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6640"/>
        </w:trPr>
        <w:tc>
          <w:tcPr>
     </w:tcPr>
          <w:p>
            <w:pPr>
              <w:pStyle w:val="EMPTY_CELL_STYLE"/>
            </w:pPr>
          </w:p>
        </w:tc>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兴业银行活期存款（北京）</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3,502,411,111.12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7.41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Z存放同业（线上）20230119001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1,507,650,000.00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3.19</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Z存放同业（线上）20230210008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1,505,541,666.50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3.18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23CSFD85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1,122,697,205.48</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2.37</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Z存放同业（线上）20230106001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1,006,068,055.65</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23交通银行CD057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684,533,327.14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22CSFD98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676,957,095.04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23浦发银行CD021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590,677,148.69</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23成都农商银行CD030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543,670,402.58</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1.15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22CSFD110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521,016,363.91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1.10</w:t>
                        </w:r>
                      </w:p>
                    </w:tc>
                  </w:tr>
                </w:tbl>
                <w:p>
                  <w:pPr>
                    <w:pStyle w:val="EMPTY_CELL_STYLE"/>
                  </w:pPr>
                </w:p>
              </w:tc>
            </w:tr>
          </w:tbl>
          <w:p>
            <w:pPr>
              <w:pStyle w:val="EMPTY_CELL_STYLE"/>
            </w:pPr>
          </w:p>
        </w:tc>
        <w:tc>
          <w:tcPr>
     </w:tcPr>
          <w:p>
            <w:pPr>
              <w:pStyle w:val="EMPTY_CELL_STYLE"/>
            </w:pPr>
          </w:p>
        </w:tc>
      </w:tr>
      <w:tr>
        <w:trPr>
          <w:trHeight w:hRule="exact" w:val="56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0"/>
        <w:gridCol w:w="3200"/>
        <w:gridCol w:w="2000"/>
        <w:gridCol w:w="2000"/>
        <w:gridCol w:w="3300"/>
        <w:gridCol w:w="1"/>
      </w:tblGrid>
      <w:tr>
        <w:trPr>
          <w:trHeight w:hRule="exact" w:val="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2023年第一季度报告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r>
      <w:tr>
        <w:trPr>
          <w:trHeight w:hRule="exact" w:val="13800"/>
        </w:trPr>
        <w:tc>
          <w:tcPr>
     </w:tcPr>
          <w:p>
            <w:pPr>
              <w:pStyle w:val="EMPTY_CELL_STYLE"/>
            </w:pPr>
          </w:p>
        </w:tc>
        <w:tc>
          <w:tcPr>
            <w:gridSpan w:val="5"/>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18华润置地MTN002B</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18鲁能源MTN001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18青城03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华福证券有限责任公司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18陕煤化MTN003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19首钢MTN002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20迪荡新投MTN002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20东方债02BC</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20金圆投资MTN002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20晋能MTN013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20联发集MTN002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20鲁能源MTN002A</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20浦口康居MTN005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20山高01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华福证券有限责任公司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20太原国投PPN002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20天成租赁GN002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20兴信02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兴业国信资产管理有限公司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20盐城资产MTN001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37,000,000.00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20株洲城建MTN002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21晋能电力MTN009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21晋能装备MTN002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21融和融资PPN001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21兴信01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兴业国信资产管理有限公司</w:t>
                        </w:r>
                      </w:p>
                    </w:tc>
                  </w:tr>
                </w:tbl>
                <w:p>
                  <w:pPr>
                    <w:pStyle w:val="EMPTY_CELL_STYLE"/>
                  </w:pPr>
                </w:p>
              </w:tc>
            </w:tr>
          </w:tbl>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8/</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r>
    </w:tbl>
    <w:tbl>
      <w:tblPr>
        <w:tblLayout w:type="fixed"/>
      </w:tblPr>
      <w:tblGrid>
        <w:gridCol w:w="1"/>
        <w:gridCol w:w="200"/>
        <w:gridCol w:w="3200"/>
        <w:gridCol w:w="2000"/>
        <w:gridCol w:w="2000"/>
        <w:gridCol w:w="3300"/>
        <w:gridCol w:w="1"/>
      </w:tblGrid>
      <w:tr>
        <w:trPr>
          <w:trHeight w:hRule="exact" w:val="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2023年第一季度报告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10800"/>
        </w:trPr>
        <w:tc>
          <w:tcPr>
     </w:tcPr>
          <w:p>
            <w:pPr>
              <w:pStyle w:val="EMPTY_CELL_STYLE"/>
            </w:pPr>
          </w:p>
        </w:tc>
        <w:tc>
          <w:tcPr>
            <w:gridSpan w:val="5"/>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22桂投资SCP003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22荆州城发CP001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22青岛西海SCP002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22上实SCP004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22四川路桥SCP003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22西盛投资CP002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22湘高速CP004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22象屿SCP009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23百业源CP001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23国新保理SCP001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23建安投资CP001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23胶州湾CP001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23联发集SCP001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23南京医药SCP003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23湘建工SCP001(科创票据)</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23豫航空港SCP001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23浙兴合SCP001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23中交城投SCP001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r>
      <w:tr>
        <w:trPr>
          <w:trHeight w:hRule="exact" w:val="1200"/>
        </w:trPr>
        <w:tc>
          <w:tcPr>
     </w:tcPr>
          <w:p>
            <w:pPr>
              <w:pStyle w:val="EMPTY_CELL_STYLE"/>
            </w:pPr>
          </w:p>
        </w:tc>
        <w:tc>
          <w:tcPr>
            <w:gridSpan w:val="5"/>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兴业银行活期存款（北京）</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350,000.00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授信</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r>
      <w:tr>
        <w:trPr>
          <w:trHeight w:hRule="exact" w:val="600"/>
        </w:trPr>
        <w:tc>
          <w:tcPr>
     </w:tcPr>
          <w:p>
            <w:pPr>
              <w:pStyle w:val="EMPTY_CELL_STYLE"/>
            </w:pPr>
          </w:p>
        </w:tc>
        <w:tc>
          <w:tcPr>
            <w:gridSpan w:val="5"/>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r>
      <w:tr>
        <w:trPr>
          <w:trHeight w:hRule="exact" w:val="600"/>
        </w:trPr>
        <w:tc>
          <w:tcPr>
     </w:tcPr>
          <w:p>
            <w:pPr>
              <w:pStyle w:val="EMPTY_CELL_STYLE"/>
            </w:pPr>
          </w:p>
        </w:tc>
        <w:tc>
          <w:tcPr>
            <w:gridSpan w:val="5"/>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9/</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r>
    </w:tbl>
    <w:tbl>
      <w:tblPr>
        <w:tblLayout w:type="fixed"/>
      </w:tblPr>
      <w:tblGrid>
        <w:gridCol w:w="1"/>
        <w:gridCol w:w="40"/>
        <w:gridCol w:w="3360"/>
        <w:gridCol w:w="2000"/>
        <w:gridCol w:w="2000"/>
        <w:gridCol w:w="3300"/>
        <w:gridCol w:w="40"/>
        <w:gridCol w:w="260"/>
        <w:gridCol w:w="1"/>
      </w:tblGrid>
      <w:tr>
        <w:trPr>
          <w:trHeight w:hRule="exact" w:val="0"/>
        </w:trPr>
        <w:tc>
          <w:tcPr>
     </w:tcPr>
          <w:p>
            <w:pPr>
              <w:pStyle w:val="EMPTY_CELL_STYLE"/>
              <w:pageBreakBefore/>
            </w:pPr>
            <w:bookmarkStart w:id="9" w:name="JR_PAGE_ANCHOR_0_10"/>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2023年第一季度报告</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051010100101209133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兴银理财添利10号净值型理财产品</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7"/>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7.影响理财份额投资人决策的其他重要信息</w:t>
            </w:r>
          </w:p>
        </w:tc>
        <w:tc>
          <w:tcPr>
     </w:tcPr>
          <w:p>
            <w:pPr>
              <w:pStyle w:val="EMPTY_CELL_STYLE"/>
            </w:pPr>
          </w:p>
        </w:tc>
      </w:tr>
      <w:tr>
        <w:trPr>
          <w:trHeight w:hRule="atLeast" w:val="400"/>
        </w:trPr>
        <w:tc>
          <w:tcPr>
     </w:tcPr>
          <w:p>
            <w:pPr>
              <w:pStyle w:val="EMPTY_CELL_STYLE"/>
            </w:pPr>
          </w:p>
        </w:tc>
        <w:tc>
          <w:tcPr>
            <w:gridSpan w:val="7"/>
            <w:tcMar>
              <w:top w:w="0" w:type="dxa"/>
              <w:left w:w="0" w:type="dxa"/>
              <w:bottom w:w="0" w:type="dxa"/>
              <w:right w:w="0" w:type="dxa"/>
            </w:tcMar>
            <w:vAlign w:val="center"/>
          </w:tcPr>
          <w:p>
            <w:pPr>
              <w:ind/>
              <w:jc w:val="left"/>
            </w:pPr>
            <w:r>
              <w:rPr>
                <w:rFonts w:ascii="宋体" w:hAnsi="宋体" w:eastAsia="宋体" w:cs="宋体"/>
                <w:color w:val="000000"/>
                <w:sz w:val="20"/>
              </w:rPr>
              <w:t xml:space="preserve"> 7.1报告期内单一投资者持有产品份额达到或者超过该产品总份额20%的情形</w:t>
            </w:r>
          </w:p>
        </w:tc>
        <w:tc>
          <w:tcPr>
     </w:tcPr>
          <w:p>
            <w:pPr>
              <w:pStyle w:val="EMPTY_CELL_STYLE"/>
            </w:pPr>
          </w:p>
        </w:tc>
      </w:tr>
      <w:tr>
        <w:trPr>
          <w:trHeight w:hRule="exact" w:val="600"/>
        </w:trPr>
        <w:tc>
          <w:tcPr>
     </w:tcPr>
          <w:p>
            <w:pPr>
              <w:pStyle w:val="EMPTY_CELL_STYLE"/>
            </w:pPr>
          </w:p>
        </w:tc>
        <w:tc>
          <w:tcPr>
            <w:gridSpan w:val="7"/>
            <w:tcMar>
              <w:top w:w="0" w:type="dxa"/>
              <w:left w:w="0" w:type="dxa"/>
              <w:bottom w:w="0" w:type="dxa"/>
              <w:right w:w="0" w:type="dxa"/>
            </w:tcMar>
          </w:tcPr>
          <w:tbl>
            <w:tblPr>
              <w:tblLayout w:type="fixed"/>
            </w:tblPr>
            <w:tblGrid>
              <w:gridCol w:w="11000"/>
              <w:gridCol w:w="11000"/>
            </w:tblGrid>
            <w:tr>
              <w:trPr>
                <w:trHeight w:hRule="exact" w:val="600"/>
              </w:trPr>
              <w:tc>
                <w:tcPr>
                  <w:shd w:val="clear" w:color="auto" w:fill="FFFFFF"/>
                  <w:tcMar>
                    <w:top w:w="0" w:type="dxa"/>
                    <w:left w:w="0" w:type="dxa"/>
                    <w:bottom w:w="0" w:type="dxa"/>
                    <w:right w:w="0" w:type="dxa"/>
                  </w:tcMar>
                </w:tcPr>
                <w:tbl>
                  <w:tblPr>
                    <w:tblLayout w:type="fixed"/>
                  </w:tblPr>
                  <w:tblGrid>
                    <w:gridCol w:w="11000"/>
                    <w:gridCol w:w="11000"/>
                  </w:tblGrid>
                  <w:tr>
                    <w:trPr>
                      <w:trHeight w:hRule="atLeast" w:val="600"/>
                    </w:trPr>
                    <w:tc>
                      <w:tcPr>
                        <w:tcMar>
                          <w:top w:w="0" w:type="dxa"/>
                          <w:left w:w="0" w:type="dxa"/>
                          <w:bottom w:w="0" w:type="dxa"/>
                          <w:right w:w="0" w:type="dxa"/>
                        </w:tcMar>
                        <w:vAlign w:val="center"/>
                      </w:tcPr>
                      <w:p>
                        <w:pPr>
                          <w:ind/>
                          <w:jc w:val="left"/>
                        </w:pPr>
                        <w:r>
                          <w:rPr>
                            <w:rFonts w:ascii="宋体" w:hAnsi="宋体" w:eastAsia="宋体" w:cs="宋体"/>
                            <w:color w:val="000000"/>
                            <w:sz w:val="21"/>
                          </w:rPr>
                          <w:t xml:space="preserve">    本产品本报告期无单一投资者持有产品份额达到或者超过该产品总份额20%的情形。</w:t>
                        </w:r>
                      </w:p>
                    </w:tc>
                  </w:tr>
                </w:tbl>
                <w:p>
                  <w:pPr>
                    <w:pStyle w:val="EMPTY_CELL_STYLE"/>
                  </w:pPr>
                </w:p>
              </w:tc>
            </w:tr>
          </w:tbl>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top"/>
          </w:tcPr>
          <w:p>
            <w:pPr>
              <w:ind/>
              <w:jc w:val="right"/>
            </w:pPr>
            <w:r>
              <w:rPr>
                <w:rFonts w:ascii="宋体" w:hAnsi="宋体" w:eastAsia="宋体" w:cs="宋体"/>
                <w:color w:val="000000"/>
                <w:sz w:val="21"/>
              </w:rPr>
              <w:t xml:space="preserve">2023年4月23日</w:t>
            </w:r>
          </w:p>
        </w:tc>
        <w:tc>
          <w:tcPr>
     </w:tcPr>
          <w:p>
            <w:pPr>
              <w:pStyle w:val="EMPTY_CELL_STYLE"/>
            </w:pPr>
          </w:p>
        </w:tc>
        <w:tc>
          <w:tcPr>
     </w:tcPr>
          <w:p>
            <w:pPr>
              <w:pStyle w:val="EMPTY_CELL_STYLE"/>
            </w:pPr>
          </w:p>
        </w:tc>
        <w:tc>
          <w:tcPr>
     </w:tcPr>
          <w:p>
            <w:pPr>
              <w:pStyle w:val="EMPTY_CELL_STYLE"/>
            </w:pPr>
          </w:p>
        </w:tc>
      </w:tr>
      <w:tr>
        <w:trPr>
          <w:trHeight w:hRule="exact" w:val="96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10/</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30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