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兴银理财天天万利宝稳利恒盈7号封闭式净值型理财产品第16期</w:t>
            </w:r>
            <w:r>
              <w:rPr>
                <w:rFonts w:ascii="宋体" w:hAnsi="宋体" w:eastAsia="宋体" w:cs="宋体"/>
                <w:b/>
                <w:color w:val="000000"/>
                <w:sz w:val="32"/>
              </w:rPr>
              <w:br w:type="textWrapping"/>
            </w:r>
            <w:r>
              <w:rPr>
                <w:rFonts w:ascii="宋体" w:hAnsi="宋体" w:eastAsia="宋体" w:cs="宋体"/>
                <w:b/>
                <w:color w:val="000000"/>
                <w:sz w:val="32"/>
              </w:rPr>
              <w:t>2023年第一季度报告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报告送出日期：2023年4月23日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兴银理财天天万利宝稳利恒盈7号封闭式净值型理财产品第16期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9N213160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Z7002021000243</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1,263,631,661.54份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4.50%--5.00%/5.00%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278,061,262.90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787,970,000.00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9,517,856.92</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188,082,541.72</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产品9N21316A自成立日以来，累计净值增长率为4.3440%，年化累计净值增长率为4.0243%。</w:t>
            </w:r>
            <w:r>
              <w:rPr>
                <w:rFonts w:ascii="宋体" w:hAnsi="宋体" w:eastAsia="宋体" w:cs="宋体"/>
                <w:color w:val="000000"/>
                <w:sz w:val="21"/>
              </w:rPr>
              <w:br w:type="textWrapping"/>
            </w:r>
            <w:r>
              <w:rPr>
                <w:rFonts w:ascii="宋体" w:hAnsi="宋体" w:eastAsia="宋体" w:cs="宋体"/>
                <w:color w:val="000000"/>
                <w:sz w:val="21"/>
              </w:rPr>
              <w:t>产品9N21316B自成立日以来，累计净值增长率为4.4550%，年化累计净值增长率为4.1271%。</w:t>
            </w:r>
            <w:r>
              <w:rPr>
                <w:rFonts w:ascii="宋体" w:hAnsi="宋体" w:eastAsia="宋体" w:cs="宋体"/>
                <w:color w:val="000000"/>
                <w:sz w:val="21"/>
              </w:rPr>
              <w:br w:type="textWrapping"/>
            </w:r>
            <w:r>
              <w:rPr>
                <w:rFonts w:ascii="宋体" w:hAnsi="宋体" w:eastAsia="宋体" w:cs="宋体"/>
                <w:color w:val="000000"/>
                <w:sz w:val="21"/>
              </w:rPr>
              <w:t>产品9N21316C自成立日以来，累计净值增长率为4.2340%，年化累计净值增长率为3.9224%。</w:t>
            </w:r>
            <w:r>
              <w:rPr>
                <w:rFonts w:ascii="宋体" w:hAnsi="宋体" w:eastAsia="宋体" w:cs="宋体"/>
                <w:color w:val="000000"/>
                <w:sz w:val="21"/>
              </w:rPr>
              <w:br w:type="textWrapping"/>
            </w:r>
            <w:r>
              <w:rPr>
                <w:rFonts w:ascii="宋体" w:hAnsi="宋体" w:eastAsia="宋体" w:cs="宋体"/>
                <w:color w:val="000000"/>
                <w:sz w:val="21"/>
              </w:rPr>
              <w:t>产品9N21316D自成立日以来，累计净值增长率为4.4550%，年化累计净值增长率为4.1271%。</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1.02544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1,295,775,742.83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1.04344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285,116,185.28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808,030,318.85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9,758,454.48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1.04455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192,870,784.22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8年固定收益领域投资交易经验。自2015年8月加入兴业银行以来，一直在资产管理事业部任投资经理，债券交易量近数千亿，交易能力出众；牵头固定收益投资部的利率债交易盘和信用债二级投资，擅长利率债波段和信用债价值挖掘；牵头固定收益投资部的宏观利率研究工作，对债券市场走势有深刻的理解。</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一、2023年一季度投资策略与运作回顾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2023年一季度债券市场整体先抑后扬。1月春节前感染人数快速下降，春节期间消费、出行快速复苏，市场对于经济修复的信心较为强劲，10年期国债一度向上接近3.1%；春节期后，1月数据反应了经济修复速度或不及预期，高频经济数据有所分化，市场的预期不断修正，10年期国债随着高频数据的公布在2.9%附近窄幅波动；2月下旬，由于信贷偏强叠加央行主动调节等因素共同作用，资金面明显偏紧，推动了利空情绪的上涨；3月初两会顺利召</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开，经济增长基调确定整体上符合或略低于预期，强刺激政策的担忧缓解，10年期国债利率下行。收益率方面，1年期国债、10年期国债、10年期国开债、3年AAA、3年AA+、3年AA和3年AA-分别变动14BP、2BP、1BP、-9BP、-34BP、-34BP和-32BP。信用利差方面，3年AAA、3年AA+、3年AA和3年AA-分别变动-19BP、-44BP、-44BP和-42BP。</w:t>
            </w:r>
            <w:r>
              <w:rPr>
                <w:rFonts w:ascii="宋体" w:hAnsi="宋体" w:eastAsia="宋体" w:cs="宋体"/>
                <w:color w:val="000000"/>
                <w:sz w:val="21"/>
              </w:rPr>
              <w:br w:type="textWrapping"/>
            </w:r>
            <w:r>
              <w:rPr>
                <w:rFonts w:ascii="宋体" w:hAnsi="宋体" w:eastAsia="宋体" w:cs="宋体"/>
                <w:color w:val="000000"/>
                <w:sz w:val="21"/>
              </w:rPr>
              <w:t xml:space="preserve">    </w:t>
            </w:r>
            <w:bookmarkStart w:id="8" w:name="_GoBack"/>
            <w:bookmarkEnd w:id="8"/>
            <w:r>
              <w:rPr>
                <w:rFonts w:ascii="宋体" w:hAnsi="宋体" w:eastAsia="宋体" w:cs="宋体"/>
                <w:color w:val="000000"/>
                <w:sz w:val="21"/>
              </w:rPr>
              <w:t>产品运作方面，考虑到疫情、地产政策的边际变化和强预期弱现实的状态，一季度整体采取了防守中略进攻的投资策略，在应对了年底的流动性风险后开始了积极的加仓。在具体操作方面，主要从增配低波资产、逐步增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br w:type="textWrapping"/>
            </w:r>
            <w:r>
              <w:rPr>
                <w:rFonts w:ascii="宋体" w:hAnsi="宋体" w:eastAsia="宋体" w:cs="宋体"/>
                <w:color w:val="000000"/>
                <w:sz w:val="21"/>
              </w:rPr>
              <w:t>二、2023年4月投资策略展望</w:t>
            </w:r>
            <w:r>
              <w:rPr>
                <w:rFonts w:ascii="宋体" w:hAnsi="宋体" w:eastAsia="宋体" w:cs="宋体"/>
                <w:color w:val="000000"/>
                <w:sz w:val="21"/>
              </w:rPr>
              <w:br w:type="textWrapping"/>
            </w:r>
            <w:r>
              <w:rPr>
                <w:rFonts w:ascii="宋体" w:hAnsi="宋体" w:eastAsia="宋体" w:cs="宋体"/>
                <w:color w:val="000000"/>
                <w:sz w:val="21"/>
              </w:rPr>
              <w:t xml:space="preserve">    4月从资金面角度来看，资金利率修复至政策利率附近，市场对未来的预期相对平稳，但是资金市场的分层现象有所加剧，基本面角度来看，修复斜率趋缓，但是地产等销售向好对基本面有一定的支撑，机构行为的角度来看，理财等的配置力量维持强势，海外事件的发酵压制风险偏好，预计债市整体震荡，尚无趋势性机会，配置仍以套息策略为主，杠杆策略仍是收益的重要来源。下阶段总体策略：防守策略为主，看好高等级信用债票息和杠杆策略，以及金融机构债的投资机会，在波动中提高组合静态收益，兼顾产品流动性。</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8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45.89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9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p>
            <w:pPr>
              <w:pStyle w:val="4"/>
            </w:pPr>
          </w:p>
        </w:tc>
      </w:tr>
      <w:tr>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142,007,460.00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134,804,429.53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120,683,010.41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95,448,526.67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92,381,074.22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19空港兴城MTN001B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73,359,961.64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71,369,103.15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53,192,523.97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52,293,070.55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51,232,519.86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8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rPr>
          <w:trHeight w:val="6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19东方债03BC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20汾湖投资MTN001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21夏商MTN001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21新余城建MTN001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22岳阳城投MTN001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051010100101342552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兴银理财天天万利宝稳利恒盈7号封闭式净值型理财产品第16期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2023年4月23日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59A41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2023-04-20T08:59:29Z</dcterms:created>
  <dc:creator>cib</dc:creator>
  <cp:lastModifiedBy>cib</cp:lastModifiedBy>
  <dcterms:modified xsi:type="dcterms:W3CDTF">2023-04-20T09:00:57Z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