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2023年第二季度报告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报告送出日期：2023年7月21日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p>
            <w:pPr>
              <w:pStyle w:val="4"/>
            </w:pPr>
          </w:p>
        </w:tc>
      </w:tr>
      <w:tr>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94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业绩比较基准¹/业绩报酬计提基准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9N21316A：4.50%--5.00%/5.00%</w:t>
            </w:r>
            <w:r>
              <w:rPr>
                <w:rFonts w:ascii="宋体" w:hAnsi="宋体" w:eastAsia="宋体" w:cs="宋体"/>
                <w:color w:val="000000"/>
                <w:sz w:val="21"/>
              </w:rPr>
              <w:br w:type="textWrapping"/>
            </w:r>
            <w:r>
              <w:rPr>
                <w:rFonts w:ascii="宋体" w:hAnsi="宋体" w:eastAsia="宋体" w:cs="宋体"/>
                <w:color w:val="000000"/>
                <w:sz w:val="21"/>
              </w:rPr>
              <w:t xml:space="preserve">  9N21316B：4.60%--5.10%/5.10%</w:t>
            </w:r>
            <w:r>
              <w:rPr>
                <w:rFonts w:ascii="宋体" w:hAnsi="宋体" w:eastAsia="宋体" w:cs="宋体"/>
                <w:color w:val="000000"/>
                <w:sz w:val="21"/>
              </w:rPr>
              <w:br w:type="textWrapping"/>
            </w:r>
            <w:r>
              <w:rPr>
                <w:rFonts w:ascii="宋体" w:hAnsi="宋体" w:eastAsia="宋体" w:cs="宋体"/>
                <w:color w:val="000000"/>
                <w:sz w:val="21"/>
              </w:rPr>
              <w:t xml:space="preserve">  9N21316C：4.40%--4.90%/4.90%</w:t>
            </w:r>
            <w:r>
              <w:rPr>
                <w:rFonts w:ascii="宋体" w:hAnsi="宋体" w:eastAsia="宋体" w:cs="宋体"/>
                <w:color w:val="000000"/>
                <w:sz w:val="21"/>
              </w:rPr>
              <w:br w:type="textWrapping"/>
            </w:r>
            <w:r>
              <w:rPr>
                <w:rFonts w:ascii="宋体" w:hAnsi="宋体" w:eastAsia="宋体" w:cs="宋体"/>
                <w:color w:val="000000"/>
                <w:sz w:val="21"/>
              </w:rPr>
              <w:t xml:space="preserve">  9N21316D：4.60%--5.10%/5.10%</w:t>
            </w:r>
          </w:p>
        </w:tc>
        <w:tc>
          <w:p>
            <w:pPr>
              <w:pStyle w:val="4"/>
            </w:pPr>
          </w:p>
        </w:tc>
      </w:tr>
      <w:tr>
        <w:tblPrEx>
          <w:tblCellMar>
            <w:top w:w="0" w:type="dxa"/>
            <w:left w:w="10" w:type="dxa"/>
            <w:bottom w:w="0" w:type="dxa"/>
            <w:right w:w="10" w:type="dxa"/>
          </w:tblCellMar>
        </w:tblPrEx>
        <w:trPr>
          <w:gridAfter w:val="4"/>
          <w:trHeight w:val="248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6"/>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16"/>
              </w:rPr>
              <w:t>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p>
            <w:pPr>
              <w:pStyle w:val="4"/>
            </w:pPr>
          </w:p>
        </w:tc>
        <w:tc>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产品9N21316A自成立日以来，累计净值增长率为4.7230%，年化累计净值增长率为3.5544%。</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产品9N21316B自成立日以来，累计净值增长率为4.8590%，年化累计净值增长率为3.6568%。</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产品9N21316C自成立日以来，累计净值增长率为4.5870%，年化累计净值增长率为3.4521%。</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产品9N21316D自成立日以来，累计净值增长率为4.8590%，年化累计净值增长率为3.6568%。</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1.02592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1.04827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1,296,386,437.68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1.04723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285,251,469.54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1.04859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808,410,347.71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9,763,126.05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1.02594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1.04859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192,961,494.38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6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w:t>
            </w:r>
          </w:p>
        </w:tc>
        <w:tc>
          <w:tcPr>
            <w:gridSpan w:val="2"/>
          </w:tcPr>
          <w:p>
            <w:pPr>
              <w:pStyle w:val="4"/>
            </w:pPr>
          </w:p>
        </w:tc>
        <w:tc>
          <w:tcPr>
            <w:gridSpan w:val="2"/>
          </w:tcPr>
          <w:p>
            <w:pPr>
              <w:pStyle w:val="4"/>
            </w:pPr>
          </w:p>
        </w:tc>
        <w:tc>
          <w:p>
            <w:pPr>
              <w:pStyle w:val="4"/>
            </w:pPr>
          </w:p>
        </w:tc>
      </w:tr>
      <w:tr>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出</w:t>
            </w:r>
            <w:bookmarkStart w:id="8" w:name="_GoBack"/>
            <w:bookmarkEnd w:id="8"/>
            <w:r>
              <w:rPr>
                <w:rFonts w:ascii="宋体" w:hAnsi="宋体" w:eastAsia="宋体" w:cs="宋体"/>
                <w:color w:val="000000"/>
                <w:sz w:val="21"/>
              </w:rPr>
              <w:t>众；牵头固定收益投资部的利率债交易盘和信用债二级投资，擅长利率债波段和信用债价值挖掘；牵头固定收益投资部的宏观利率研究工作，对债券市场走势有深刻的理解。</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7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一、2023年上半年投资策略与运作回顾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2023年上半年债券市场大致分为三个阶段：1）1-2月新冠第一波疫情后居民报复性出行和消费，经济高频数据比如生产开工率、地铁出行人数等以高斜率快速修复，市场对经济修复存在强预期，10年国债从低点2.81%上行至2.9%附近震荡，信用利差伴随理财规模回升先上后下。2）3-4月经济高频数据修复斜率放缓，原材料价格、商品房成交等逐步显现颓势，市场开始修正对基本面过强的预期以及前期对国债收益率偏高的定价，同时4月理财规模的明显增长为信用债带来新增配置力量，10年国债从2.9%快速下行至2.78%，信用利差大幅压缩。3）5-6月经济数据快速转弱，消费、投资和出口同比、CPI和PPI环比、社融同比均调头下行，期间债市一方面定价弱现实，一方面担忧弱现实情况下信用风险会进一步抬升，同时逐步定价对刺激政策的预期，10年国债从2.78%下行至2.64%走平，信用利差逐步上行，高评级债券信用利差与中低评级走势出现分化。</w:t>
            </w:r>
            <w:r>
              <w:rPr>
                <w:rFonts w:ascii="宋体" w:hAnsi="宋体" w:eastAsia="宋体" w:cs="宋体"/>
                <w:color w:val="000000"/>
                <w:sz w:val="21"/>
              </w:rPr>
              <w:br w:type="textWrapping"/>
            </w:r>
            <w:r>
              <w:rPr>
                <w:rFonts w:ascii="宋体" w:hAnsi="宋体" w:eastAsia="宋体" w:cs="宋体"/>
                <w:color w:val="000000"/>
                <w:sz w:val="21"/>
              </w:rPr>
              <w:t xml:space="preserve">    上半年来看，收益率方面1年NCD、1年国债、10年国债、信用债3年AAA、3年AA+、3年AA分别变动-11bp、-22bp、-20bp、-39bp、-53bp、-58bp；信用利差方面3年AAA、3年AA+、3年AA分别变动-21bp、-35bp、-40bp。</w:t>
            </w:r>
            <w:r>
              <w:rPr>
                <w:rFonts w:ascii="宋体" w:hAnsi="宋体" w:eastAsia="宋体" w:cs="宋体"/>
                <w:color w:val="000000"/>
                <w:sz w:val="21"/>
              </w:rPr>
              <w:br w:type="textWrapping"/>
            </w:r>
            <w:r>
              <w:rPr>
                <w:rFonts w:ascii="宋体" w:hAnsi="宋体" w:eastAsia="宋体" w:cs="宋体"/>
                <w:color w:val="000000"/>
                <w:sz w:val="21"/>
              </w:rPr>
              <w:t xml:space="preserve">    产品运作上，1-2月基于基本面“弱现实强预期”采取了防守策略，注重资产的高赔率和高胜率，并在收益率高点积极建仓；3-4月提前预判了理财规模的大幅回流，重点建仓信用债，并做陡利率债曲线；5-6月随着债市利好基本兑现，随债券收益率的下行投资策略逐步增加防守的比重，期间注重建仓低波资产提升组合静态、建仓高评级债券提升组合流动性，平衡收益与波动。</w:t>
            </w:r>
            <w:r>
              <w:rPr>
                <w:rFonts w:ascii="宋体" w:hAnsi="宋体" w:eastAsia="宋体" w:cs="宋体"/>
                <w:color w:val="000000"/>
                <w:sz w:val="21"/>
              </w:rPr>
              <w:br w:type="textWrapping"/>
            </w:r>
            <w:r>
              <w:rPr>
                <w:rFonts w:ascii="宋体" w:hAnsi="宋体" w:eastAsia="宋体" w:cs="宋体"/>
                <w:color w:val="000000"/>
                <w:sz w:val="21"/>
              </w:rPr>
              <w:t>二、2023三季度投资策略展望</w:t>
            </w:r>
            <w:r>
              <w:rPr>
                <w:rFonts w:ascii="宋体" w:hAnsi="宋体" w:eastAsia="宋体" w:cs="宋体"/>
                <w:color w:val="000000"/>
                <w:sz w:val="21"/>
              </w:rPr>
              <w:br w:type="textWrapping"/>
            </w:r>
            <w:r>
              <w:rPr>
                <w:rFonts w:ascii="宋体" w:hAnsi="宋体" w:eastAsia="宋体" w:cs="宋体"/>
                <w:color w:val="000000"/>
                <w:sz w:val="21"/>
              </w:rPr>
              <w:t xml:space="preserve">    三季度债市大概率震荡中波动率抬升。流动性方面，货币政策依然保持着合理充裕、稳中偏松的态度，在当前基本面弱修复的态势下很难具备边际转紧的基础。基本面方面，经济数据尚在磨底，虽然开工率、原材料价格、贷款融资需求等方面开始出现积极信号，但地产、出口还在筑底，居民和企业收入和预期仍需时间修复。债券收益率中枢大幅抬升的风险较低。政策方面，在高质量发展的背景下，政策更加注重经济结构的调整而非重走地产、基建大规模刺激的老路，政府会议也多次强调需对当前经济修复多些耐心，年内政策的重点更多在托底经济维持修复态势、完成经济增长目标。在这样的背景下，政策的落地对债市的扰动更多是阶段性的、幅度有限的。机构行为方面，由于上半年债市涨幅较大，部分机构已基本完成今年的业绩目标，在下半年的操作将更加倾向于“落袋为安”，将使市场参与者的行为趋向同质化，债市波动率抬升。</w:t>
            </w:r>
            <w:r>
              <w:rPr>
                <w:rFonts w:ascii="宋体" w:hAnsi="宋体" w:eastAsia="宋体" w:cs="宋体"/>
                <w:color w:val="000000"/>
                <w:sz w:val="21"/>
              </w:rPr>
              <w:br w:type="textWrapping"/>
            </w:r>
            <w:r>
              <w:rPr>
                <w:rFonts w:ascii="宋体" w:hAnsi="宋体" w:eastAsia="宋体" w:cs="宋体"/>
                <w:color w:val="000000"/>
                <w:sz w:val="21"/>
              </w:rPr>
              <w:t xml:space="preserve">    下阶段总体策略将更趋防守，以套息和杠杆策略为主，注重组合流动性，继续提升组合静态，同时积极把握债市调整形成的波段操作机会博取超额收益，提高组合收益率。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rPr>
          <w:gridAfter w:val="2"/>
          <w:trHeight w:val="21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rPr>
          <w:trHeight w:val="42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40.19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46.83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4240" w:hRule="exact"/>
        </w:trPr>
        <w:tc>
          <w:p>
            <w:pPr>
              <w:pStyle w:val="4"/>
            </w:pPr>
          </w:p>
        </w:tc>
        <w:tc>
          <w:p>
            <w:pPr>
              <w:pStyle w:val="4"/>
            </w:pPr>
          </w:p>
        </w:tc>
        <w:tc>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142,060,966.85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134,793,028.84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120,674,006.56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95,441,823.89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92,375,687.11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72,053,597.67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51,155,001.09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22岳阳城投MTN001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51,108,943.84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50,953,760.38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22江津城建01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50,779,369.86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84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gridCol w:w="3000"/>
              <w:gridCol w:w="4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19东方债03BC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22江津城建01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22岳阳城投MTN001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gridCol w:w="2200"/>
              <w:gridCol w:w="2200"/>
              <w:gridCol w:w="35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兴银理财天天万利宝稳利恒盈7号封闭式净值型理财产品第16期2023年第二季度报告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gridCol w:w="2200"/>
              <w:gridCol w:w="2200"/>
              <w:gridCol w:w="3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2023年7月21日</w:t>
            </w:r>
          </w:p>
        </w:tc>
        <w:tc>
          <w:tcPr>
            <w:gridSpan w:val="4"/>
          </w:tcPr>
          <w:p>
            <w:pPr>
              <w:pStyle w:val="4"/>
            </w:pPr>
          </w:p>
        </w:tc>
        <w:tc>
          <w:p>
            <w:pPr>
              <w:pStyle w:val="4"/>
            </w:pPr>
          </w:p>
        </w:tc>
      </w:tr>
      <w:tr>
        <w:tblPrEx>
          <w:tblCellMar>
            <w:top w:w="0" w:type="dxa"/>
            <w:left w:w="10" w:type="dxa"/>
            <w:bottom w:w="0" w:type="dxa"/>
            <w:right w:w="10" w:type="dxa"/>
          </w:tblCellMar>
        </w:tblPrEx>
        <w:trPr>
          <w:trHeight w:val="96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800"/>
  <w:compat>
    <w:useFELayout/>
    <w:splitPgBreakAndParaMark/>
    <w:compatSetting w:name="compatibilityMode" w:uri="http://schemas.microsoft.com/office/word" w:val="12"/>
  </w:compat>
  <w:rsids>
    <w:rsidRoot w:val="00000000"/>
    <w:rsid w:val="12222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2023-07-20T01:56:13Z</dcterms:created>
  <dc:creator>cib</dc:creator>
  <cp:lastModifiedBy>cib</cp:lastModifiedBy>
  <dcterms:modified xsi:type="dcterms:W3CDTF">2023-07-20T01:59:45Z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