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兴银理财天天万利宝稳利恒盈7号封闭式净值型理财产品第16期</w:t>
            </w:r>
            <w:r>
              <w:rPr>
                <w:rFonts w:ascii="宋体" w:hAnsi="宋体" w:eastAsia="宋体" w:cs="宋体"/>
                <w:b/>
                <w:color w:val="000000"/>
                <w:sz w:val="32"/>
              </w:rPr>
              <w:br w:type="textWrapping"/>
            </w:r>
            <w:r>
              <w:rPr>
                <w:rFonts w:ascii="宋体" w:hAnsi="宋体" w:eastAsia="宋体" w:cs="宋体"/>
                <w:b/>
                <w:color w:val="000000"/>
                <w:sz w:val="32"/>
              </w:rPr>
              <w:t>2022年第四季度报告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报告送出日期：2023年1月28日</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兴银理财天天万利宝稳利恒盈7号封闭式净值型理财产品第16期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9N213160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Z7002021000243</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1,263,631,661.54份</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4.50%--5.00%/5.00%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278,061,262.90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787,970,000.00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3年季分红C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9,517,856.92</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稳利恒盈7号16期 3年乡村振兴</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9N21316D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188,082,541.72</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560" w:hRule="atLeast"/>
        </w:trPr>
        <w:tc>
          <w:p>
            <w:pPr>
              <w:pStyle w:val="4"/>
            </w:pPr>
          </w:p>
        </w:tc>
        <w:tc>
          <w:tcPr>
            <w:gridSpan w:val="2"/>
          </w:tcPr>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产品9N21316A自成立日以来，累计净值增长率为2.7950%，年化累计净值增长率为3.3558%。</w:t>
            </w:r>
            <w:r>
              <w:rPr>
                <w:rFonts w:ascii="宋体" w:hAnsi="宋体" w:eastAsia="宋体" w:cs="宋体"/>
                <w:color w:val="000000"/>
                <w:sz w:val="21"/>
              </w:rPr>
              <w:br w:type="textWrapping"/>
            </w:r>
            <w:r>
              <w:rPr>
                <w:rFonts w:ascii="宋体" w:hAnsi="宋体" w:eastAsia="宋体" w:cs="宋体"/>
                <w:color w:val="000000"/>
                <w:sz w:val="21"/>
              </w:rPr>
              <w:t>产品9N21316B自成立日以来，累计净值增长率为2.8810%，年化累计净值增长率为3.4591%。</w:t>
            </w:r>
            <w:r>
              <w:rPr>
                <w:rFonts w:ascii="宋体" w:hAnsi="宋体" w:eastAsia="宋体" w:cs="宋体"/>
                <w:color w:val="000000"/>
                <w:sz w:val="21"/>
              </w:rPr>
              <w:br w:type="textWrapping"/>
            </w:r>
            <w:r>
              <w:rPr>
                <w:rFonts w:ascii="宋体" w:hAnsi="宋体" w:eastAsia="宋体" w:cs="宋体"/>
                <w:color w:val="000000"/>
                <w:sz w:val="21"/>
              </w:rPr>
              <w:t>产品9N21316C自成立日以来，累计净值增长率为2.7100%，年化累计净值增长率为3.2538%。</w:t>
            </w:r>
            <w:r>
              <w:rPr>
                <w:rFonts w:ascii="宋体" w:hAnsi="宋体" w:eastAsia="宋体" w:cs="宋体"/>
                <w:color w:val="000000"/>
                <w:sz w:val="21"/>
              </w:rPr>
              <w:br w:type="textWrapping"/>
            </w:r>
            <w:r>
              <w:rPr>
                <w:rFonts w:ascii="宋体" w:hAnsi="宋体" w:eastAsia="宋体" w:cs="宋体"/>
                <w:color w:val="000000"/>
                <w:sz w:val="21"/>
              </w:rPr>
              <w:t>产品9N21316D自成立日以来，累计净值增长率为2.8810%，年化累计净值增长率为3.4591%。</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1.01775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1.02860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1,286,067,082.55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1.01768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1.02795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282,978,586.48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1.01778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1.02881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801,977,297.06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1.01758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1.02710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9,685,222.87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2022年12月31日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1.01778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1.02881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191,425,976.14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赵天然女士，复旦大学经济学（数理经济方向）学士；复旦大学国际经济学硕士。具有10年固定收益领域投资交易经验。自2015年8月加入兴业银行以来，一直在资产管理事业部任投资经理，债券交易量近数千亿，交易能力出众；擅长利率债波段和信用债价值挖掘，对债券市场走势有深刻的理解。</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一、2022年四季度投资策略与运作回顾</w:t>
            </w:r>
            <w:r>
              <w:rPr>
                <w:rFonts w:ascii="宋体" w:hAnsi="宋体" w:eastAsia="宋体" w:cs="宋体"/>
                <w:color w:val="000000"/>
                <w:sz w:val="21"/>
              </w:rPr>
              <w:br w:type="textWrapping"/>
            </w:r>
            <w:r>
              <w:rPr>
                <w:rFonts w:ascii="宋体" w:hAnsi="宋体" w:eastAsia="宋体" w:cs="宋体"/>
                <w:color w:val="000000"/>
                <w:sz w:val="21"/>
              </w:rP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兴银理财天天万利宝稳利恒盈7号封闭式净值型理财产品第16期2022年第四季度报告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9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年末，相比9</w:t>
            </w:r>
            <w:bookmarkStart w:id="8" w:name="_GoBack"/>
            <w:bookmarkEnd w:id="8"/>
            <w:r>
              <w:rPr>
                <w:rFonts w:ascii="宋体" w:hAnsi="宋体" w:eastAsia="宋体" w:cs="宋体"/>
                <w:color w:val="000000"/>
                <w:sz w:val="21"/>
              </w:rPr>
              <w:t>月底，10年国债上行8bp，同业存单上行43bp，3年AAA中票上行50bp，3年AA+中票上行74bp。</w:t>
            </w:r>
            <w:r>
              <w:rPr>
                <w:rFonts w:ascii="宋体" w:hAnsi="宋体" w:eastAsia="宋体" w:cs="宋体"/>
                <w:color w:val="000000"/>
                <w:sz w:val="21"/>
              </w:rPr>
              <w:br w:type="textWrapping"/>
            </w:r>
            <w:r>
              <w:rPr>
                <w:rFonts w:ascii="宋体" w:hAnsi="宋体" w:eastAsia="宋体" w:cs="宋体"/>
                <w:color w:val="000000"/>
                <w:sz w:val="21"/>
              </w:rP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r>
            <w:r>
              <w:rPr>
                <w:rFonts w:ascii="宋体" w:hAnsi="宋体" w:eastAsia="宋体" w:cs="宋体"/>
                <w:color w:val="000000"/>
                <w:sz w:val="21"/>
              </w:rPr>
              <w:br w:type="textWrapping"/>
            </w:r>
            <w:r>
              <w:rPr>
                <w:rFonts w:ascii="宋体" w:hAnsi="宋体" w:eastAsia="宋体" w:cs="宋体"/>
                <w:color w:val="000000"/>
                <w:sz w:val="21"/>
              </w:rPr>
              <w:t>二、2023一季度投资策略展望</w:t>
            </w:r>
            <w:r>
              <w:rPr>
                <w:rFonts w:ascii="宋体" w:hAnsi="宋体" w:eastAsia="宋体" w:cs="宋体"/>
                <w:color w:val="000000"/>
                <w:sz w:val="21"/>
              </w:rPr>
              <w:br w:type="textWrapping"/>
            </w:r>
            <w:r>
              <w:rPr>
                <w:rFonts w:ascii="宋体" w:hAnsi="宋体" w:eastAsia="宋体" w:cs="宋体"/>
                <w:color w:val="000000"/>
                <w:sz w:val="21"/>
              </w:rPr>
              <w:t xml:space="preserve">    后市展望：2022年至今，国内流动性保持宽松，债券跑赢除商品外的大部分大类资产，获得更加稳健回报。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8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买入返售金融资产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45.51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46.24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4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为防范无法支付到期赎回款而产生的流动性风险，本理财产品管理人将合理安排所投资产期限，产品到期前完成所投资组合中相关资产变现，尽可能降低产品流动性风险，有效保障理财持有人利益。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36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22湖北科投01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140,364,840.00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22扬州龙川03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134,342,370.00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22淄博城运05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120,310,440.00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22滇能源投资ZR001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95,254,030.00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7.41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22赣州发展投资ZR001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92,245,824.00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19空港兴城MTN001B</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70,930,020.00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21成都兴城MTN001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70,285,600.00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20陕有色MTN001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50,507,150.00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20南部新城MTN001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50,193,950.00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22江津城建01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50,130,050.00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兴银理财天天万利宝稳利恒盈7号封闭式净值型理财产品第16期2022年第四季度报告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19东方债03BC</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20汾湖投资MTN001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20南部新城MTN001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20陕有色MTN001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20漳州交运MTN002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21成都兴城MTN001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21山东金融MTN001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21夏商MTN001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21新余城建MTN001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9N213160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22岳阳城投MTN001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051010100101342552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兴银理财天天万利宝稳利恒盈7号封闭式净值型理财产品第16期</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8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7" w:name="JR_PAGE_ANCHOR_0_8"/>
            <w:bookmarkEnd w:id="7"/>
          </w:p>
        </w:tc>
        <w:tc>
          <w:tcPr>
            <w:gridSpan w:val="6"/>
          </w:tcPr>
          <w:p>
            <w:pPr>
              <w:pStyle w:val="4"/>
            </w:pPr>
          </w:p>
        </w:tc>
        <w:tc>
          <w:tcPr>
            <w:gridSpan w:val="3"/>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兴银理财天天万利宝稳利恒盈7号封闭式净值型理财产品第16期2022年第四季度报告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2023年1月28日</w:t>
            </w:r>
          </w:p>
        </w:tc>
        <w:tc>
          <w:p>
            <w:pPr>
              <w:pStyle w:val="4"/>
            </w:pPr>
          </w:p>
        </w:tc>
      </w:tr>
      <w:tr>
        <w:tblPrEx>
          <w:tblCellMar>
            <w:top w:w="0" w:type="dxa"/>
            <w:left w:w="10" w:type="dxa"/>
            <w:bottom w:w="0" w:type="dxa"/>
            <w:right w:w="10" w:type="dxa"/>
          </w:tblCellMar>
        </w:tblPrEx>
        <w:trPr>
          <w:gridAfter w:val="4"/>
          <w:trHeight w:val="136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4"/>
          </w:tcPr>
          <w:p>
            <w:pPr>
              <w:pStyle w:val="4"/>
            </w:pPr>
          </w:p>
        </w:tc>
        <w:tc>
          <w:p>
            <w:pPr>
              <w:pStyle w:val="4"/>
            </w:pPr>
          </w:p>
        </w:tc>
      </w:tr>
    </w:tbl>
    <w:p/>
    <w:sectPr>
      <w:pgSz w:w="11900" w:h="16840"/>
      <w:pgMar w:top="600" w:right="60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800"/>
  <w:compat>
    <w:useFELayout/>
    <w:splitPgBreakAndParaMark/>
    <w:compatSetting w:name="compatibilityMode" w:uri="http://schemas.microsoft.com/office/word" w:val="12"/>
  </w:compat>
  <w:rsids>
    <w:rsidRoot w:val="00000000"/>
    <w:rsid w:val="6E850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2023-01-17T01:37:10Z</dcterms:created>
  <dc:creator>cib</dc:creator>
  <cp:lastModifiedBy>cib</cp:lastModifiedBy>
  <dcterms:modified xsi:type="dcterms:W3CDTF">2023-01-17T01:45:01Z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