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兴银理财天天万利宝稳利恒盈7号封闭式净值型理财产品第16期</w:t>
            </w:r>
            <w:r>
              <w:rPr>
                <w:rFonts w:ascii="宋体" w:hAnsi="宋体" w:eastAsia="宋体" w:cs="宋体"/>
                <w:b/>
                <w:color w:val="000000"/>
                <w:sz w:val="32"/>
              </w:rPr>
              <w:br w:type="textWrapping"/>
            </w:r>
            <w:r>
              <w:rPr>
                <w:rFonts w:ascii="宋体" w:hAnsi="宋体" w:eastAsia="宋体" w:cs="宋体"/>
                <w:b/>
                <w:color w:val="000000"/>
                <w:sz w:val="32"/>
              </w:rPr>
              <w:t>2022年半年度报告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报告送出日期：2022年9月21日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理财托管机构报告</w:t>
            </w:r>
            <w:r>
              <w:rPr>
                <w:rFonts w:ascii="宋体" w:hAnsi="宋体" w:eastAsia="宋体" w:cs="宋体"/>
                <w:color w:val="000000"/>
                <w:sz w:val="21"/>
              </w:rPr>
              <w:br w:type="textWrapping"/>
            </w:r>
            <w:r>
              <w:rPr>
                <w:rFonts w:ascii="宋体" w:hAnsi="宋体" w:eastAsia="宋体" w:cs="宋体"/>
                <w:color w:val="000000"/>
                <w:sz w:val="21"/>
              </w:rPr>
              <w:t>§ 七.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兴银理财天天万利宝稳利恒盈7号封闭式净值型理财产品第16期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9N213160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Z7002021000243</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1,263,631,661.54份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4.50%--5.00%/5.00%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278,061,262.90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787,970,000.00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9,517,856.92</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188,082,541.72</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产品9N21316A自成立日以来，累计净值增长率为1.6580%，年化累计净值增长率为5.0431%。</w:t>
            </w:r>
            <w:r>
              <w:rPr>
                <w:rFonts w:ascii="宋体" w:hAnsi="宋体" w:eastAsia="宋体" w:cs="宋体"/>
                <w:color w:val="000000"/>
                <w:sz w:val="21"/>
              </w:rPr>
              <w:br w:type="textWrapping"/>
            </w:r>
            <w:r>
              <w:rPr>
                <w:rFonts w:ascii="宋体" w:hAnsi="宋体" w:eastAsia="宋体" w:cs="宋体"/>
                <w:color w:val="000000"/>
                <w:sz w:val="21"/>
              </w:rPr>
              <w:t>产品9N21316B自成立日以来，累计净值增长率为1.6910%，年化累计净值增长率为5.1435%。</w:t>
            </w:r>
            <w:r>
              <w:rPr>
                <w:rFonts w:ascii="宋体" w:hAnsi="宋体" w:eastAsia="宋体" w:cs="宋体"/>
                <w:color w:val="000000"/>
                <w:sz w:val="21"/>
              </w:rPr>
              <w:br w:type="textWrapping"/>
            </w:r>
            <w:r>
              <w:rPr>
                <w:rFonts w:ascii="宋体" w:hAnsi="宋体" w:eastAsia="宋体" w:cs="宋体"/>
                <w:color w:val="000000"/>
                <w:sz w:val="21"/>
              </w:rPr>
              <w:t>产品9N21316C自成立日以来，累计净值增长率为1.6240%，年化累计净值增长率为4.9397%。</w:t>
            </w:r>
            <w:r>
              <w:rPr>
                <w:rFonts w:ascii="宋体" w:hAnsi="宋体" w:eastAsia="宋体" w:cs="宋体"/>
                <w:color w:val="000000"/>
                <w:sz w:val="21"/>
              </w:rPr>
              <w:br w:type="textWrapping"/>
            </w:r>
            <w:r>
              <w:rPr>
                <w:rFonts w:ascii="宋体" w:hAnsi="宋体" w:eastAsia="宋体" w:cs="宋体"/>
                <w:color w:val="000000"/>
                <w:sz w:val="21"/>
              </w:rPr>
              <w:t>产品9N21316D自成立日以来，累计净值增长率为1.6910%，年化累计净值增长率为5.1435%。</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1,284,897,972.03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282,670,407.27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801,292,556.93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9,672,471.37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191,262,536.46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8年固定收益领域投资交易经验。自2015年8月加入兴业银行以来，一直在资产管理事业部任投资经理，债券交易量近数千亿，交易能力出众；牵头固定收益投资部的利率债交易盘和信用债二级投资，擅长利率债波段和信用债价值挖掘；牵头固定收益投资部的宏观利率研究工作，对债券市场走势有深刻的理解。</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一、2022年上半年投资策略与运作回顾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上半年，长端利率整体震荡，短券表现较好，曲线趋于陡峭，10年国债、3年AAA、1年AAA利率较上年末分别上行5bp、上行4bp和下行33bp，各等级和期限信用利差收窄为主。节奏来看，1月中旬央行宣布降息，货币宽松政策进一步落地，带动长端利率在春节前逐步走低，进入2月，部分地区地产政策出现松动，债市发酵宽信用+春季复苏预期，3月国内股市下跌造成理财固收+产品被赎回，加剧市场调整，10年国债利率上行20-30bp至2.85%</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76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左右。3</w:t>
            </w:r>
            <w:bookmarkStart w:id="8" w:name="_GoBack"/>
            <w:bookmarkEnd w:id="8"/>
            <w:r>
              <w:rPr>
                <w:rFonts w:ascii="宋体" w:hAnsi="宋体" w:eastAsia="宋体" w:cs="宋体"/>
                <w:color w:val="000000"/>
                <w:sz w:val="21"/>
              </w:rPr>
              <w:t>月末至5月中下旬，经济恢复过程被局部疫情推后，货币政策保持宽松，信贷需求不足，债市出现一轮资产荒，期间流动性宽裕的现实与对宽货币预期的谨慎，使得债市收益率曲线趋于陡峭化，10年国债收益率在2.7%-2.85%区间窄幅震荡，1年期存单利率从2.6%趋势下行，一度降至2.25%附近。6月随着上海等地解封，市场逐步交易复苏行情，但资金面仍宽松，长端利率盘整上行。</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偏松的货币政策、较弱的经济基本面预期、多地散发的疫情等因素，上半年整体以震荡偏强的市场运作思路来调整组合久期和杠杆等。一季度考虑到降息兑现后利率下行的空间整体有限，产品整体稳健操作，组合久期整体有所下降，二季度随着上海疫情影响加剧，组合适当提高久期。在券种具体操作方面，主要跟踪利差的变动，进行积极调仓，在信用利差显著走扩的情况下，增持了3年内信用债、有所超跌的3-5年大行二级资本债。</w:t>
            </w:r>
            <w:r>
              <w:rPr>
                <w:rFonts w:ascii="宋体" w:hAnsi="宋体" w:eastAsia="宋体" w:cs="宋体"/>
                <w:color w:val="000000"/>
                <w:sz w:val="21"/>
              </w:rPr>
              <w:br w:type="textWrapping"/>
            </w:r>
            <w:r>
              <w:rPr>
                <w:rFonts w:ascii="宋体" w:hAnsi="宋体" w:eastAsia="宋体" w:cs="宋体"/>
                <w:color w:val="000000"/>
                <w:sz w:val="21"/>
              </w:rPr>
              <w:t xml:space="preserve">    二、下半年投资策略</w:t>
            </w:r>
            <w:r>
              <w:rPr>
                <w:rFonts w:ascii="宋体" w:hAnsi="宋体" w:eastAsia="宋体" w:cs="宋体"/>
                <w:color w:val="000000"/>
                <w:sz w:val="21"/>
              </w:rPr>
              <w:br w:type="textWrapping"/>
            </w:r>
            <w:r>
              <w:rPr>
                <w:rFonts w:ascii="宋体" w:hAnsi="宋体" w:eastAsia="宋体" w:cs="宋体"/>
                <w:color w:val="000000"/>
                <w:sz w:val="21"/>
              </w:rPr>
              <w:t xml:space="preserve">    6月末以来，长端利率出现较快上行，主要是由于疫情影响消退，市场围绕疫后经济复苏开展交易，财政政策加码亦受到关注。考虑到前期政策靠前发力，复工加速，经济从底部回升，短期内修复斜率可能会比较高，外围仍处于加息环境中，内外因素对债市都偏空，另外市场关注资金面向中性收敛的压力，以上均压制长端利率的表现。市场短期仍面临调整的压力。</w:t>
            </w:r>
            <w:r>
              <w:rPr>
                <w:rFonts w:ascii="宋体" w:hAnsi="宋体" w:eastAsia="宋体" w:cs="宋体"/>
                <w:color w:val="000000"/>
                <w:sz w:val="21"/>
              </w:rPr>
              <w:br w:type="textWrapping"/>
            </w:r>
            <w:r>
              <w:rPr>
                <w:rFonts w:ascii="宋体" w:hAnsi="宋体" w:eastAsia="宋体" w:cs="宋体"/>
                <w:color w:val="000000"/>
                <w:sz w:val="21"/>
              </w:rPr>
              <w:t xml:space="preserve">    不过我们认为债市整体调整幅度不会太大，经济的持续性修复取决于疫情和地产的发展，还依赖居民收入预期和杠杆行为、财政政策的增量措施、线下消费场景的恢复等，考虑到地产周期和信用周期弹性减弱，债务杠杆可能提升缓慢，货币政策可能偏宽松的资金面，债市调整幅度有限。若财政政策不超预期加码，收益率调整可能是机会，尤其是期限利差压缩的机会。</w:t>
            </w:r>
            <w:r>
              <w:rPr>
                <w:rFonts w:ascii="宋体" w:hAnsi="宋体" w:eastAsia="宋体" w:cs="宋体"/>
                <w:color w:val="000000"/>
                <w:sz w:val="21"/>
              </w:rPr>
              <w:br w:type="textWrapping"/>
            </w:r>
            <w:r>
              <w:rPr>
                <w:rFonts w:ascii="宋体" w:hAnsi="宋体" w:eastAsia="宋体" w:cs="宋体"/>
                <w:color w:val="000000"/>
                <w:sz w:val="21"/>
              </w:rPr>
              <w:t xml:space="preserve">    利率估值方面，当前绝对水平并不高，考虑到利率中枢下降，有其合理性。各投资机构的久期位于中位数，显示投资者情绪并不极端。</w:t>
            </w:r>
            <w:r>
              <w:rPr>
                <w:rFonts w:ascii="宋体" w:hAnsi="宋体" w:eastAsia="宋体" w:cs="宋体"/>
                <w:color w:val="000000"/>
                <w:sz w:val="21"/>
              </w:rPr>
              <w:br w:type="textWrapping"/>
            </w:r>
            <w:r>
              <w:rPr>
                <w:rFonts w:ascii="宋体" w:hAnsi="宋体" w:eastAsia="宋体" w:cs="宋体"/>
                <w:color w:val="000000"/>
                <w:sz w:val="21"/>
              </w:rPr>
              <w:t xml:space="preserve">    基于上述对后市的判断，产品将继续保持稳健的投资风格。1、发挥票息策略优势，维持中性偏低的杠杆水平与中性偏低的组合久期。2、震荡思路对待，把握住利率反弹时的配置机会。3、关注收益率曲线平坦化的可能。4、关注“稳增长”政策加码、通胀对债市的风险。</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理财托管机构报告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atLeast"/>
        </w:trPr>
        <w:tc>
          <w:p>
            <w:pPr>
              <w:pStyle w:val="4"/>
            </w:pPr>
          </w:p>
        </w:tc>
        <w:tc>
          <w:p>
            <w:pPr>
              <w:pStyle w:val="4"/>
            </w:pPr>
          </w:p>
        </w:tc>
        <w:tc>
          <w:tcPr>
            <w:gridSpan w:val="16"/>
            <w:tcMar>
              <w:top w:w="0" w:type="dxa"/>
              <w:left w:w="0" w:type="dxa"/>
              <w:bottom w:w="0" w:type="dxa"/>
              <w:right w:w="0" w:type="dxa"/>
            </w:tcMar>
            <w:vAlign w:val="top"/>
          </w:tcPr>
          <w:p>
            <w:pPr>
              <w:spacing w:before="0" w:after="0" w:line="320" w:lineRule="exact"/>
              <w:jc w:val="left"/>
            </w:pPr>
            <w:r>
              <w:rPr>
                <w:rFonts w:ascii="宋体" w:hAnsi="宋体" w:eastAsia="宋体" w:cs="宋体"/>
                <w:color w:val="000000"/>
                <w:sz w:val="21"/>
              </w:rPr>
              <w:br w:type="textWrapping"/>
            </w:r>
            <w:r>
              <w:rPr>
                <w:rFonts w:ascii="宋体" w:hAnsi="宋体" w:eastAsia="宋体" w:cs="宋体"/>
                <w:color w:val="000000"/>
                <w:sz w:val="21"/>
              </w:rPr>
              <w:t xml:space="preserve">    报告期内，托管人严格遵守《商业银行理财业务监督管理办法》及相关法律法规规定、理财产品托管协议约定，诚实信用、谨慎勤勉地履行了托管人义务，不存在损害理财产品投资者利益的行为。</w:t>
            </w:r>
            <w:r>
              <w:rPr>
                <w:rFonts w:ascii="宋体" w:hAnsi="宋体" w:eastAsia="宋体" w:cs="宋体"/>
                <w:color w:val="000000"/>
                <w:sz w:val="21"/>
              </w:rPr>
              <w:br w:type="textWrapping"/>
            </w:r>
            <w:r>
              <w:rPr>
                <w:rFonts w:ascii="宋体" w:hAnsi="宋体" w:eastAsia="宋体" w:cs="宋体"/>
                <w:color w:val="000000"/>
                <w:sz w:val="21"/>
              </w:rP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r>
            <w:r>
              <w:rPr>
                <w:rFonts w:ascii="宋体" w:hAnsi="宋体" w:eastAsia="宋体" w:cs="宋体"/>
                <w:color w:val="000000"/>
                <w:sz w:val="21"/>
              </w:rPr>
              <w:br w:type="textWrapping"/>
            </w:r>
            <w:r>
              <w:rPr>
                <w:rFonts w:ascii="宋体" w:hAnsi="宋体" w:eastAsia="宋体" w:cs="宋体"/>
                <w:color w:val="000000"/>
                <w:sz w:val="21"/>
              </w:rPr>
              <w:t xml:space="preserve">    托管人认真复核了本报告中的净值表现、投资组合报告等内容，认为其真实、准确和完整，不存在虚假记载、误导性陈述或者重大遗漏。</w:t>
            </w:r>
            <w:r>
              <w:rPr>
                <w:rFonts w:ascii="宋体" w:hAnsi="宋体" w:eastAsia="宋体" w:cs="宋体"/>
                <w:color w:val="000000"/>
                <w:sz w:val="21"/>
              </w:rPr>
              <w:br w:type="textWrapping"/>
            </w: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七.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7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5440" w:hRule="exact"/>
        </w:trPr>
        <w:tc>
          <w:p>
            <w:pPr>
              <w:pStyle w:val="4"/>
            </w:pPr>
          </w:p>
        </w:tc>
        <w:tc>
          <w:p>
            <w:pPr>
              <w:pStyle w:val="4"/>
            </w:pPr>
          </w:p>
        </w:tc>
        <w:tc>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140,161,840.00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134,182,240.00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120,165,960.00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95,131,860.00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92,124,844.00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19空港兴城MTN001B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72,606,170.00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71,774,990.00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21大悦城MTN001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71,006,250.00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51,630,550.00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50,991,650.00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9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17徐州高新MTN001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20汾湖投资MTN001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21夏商MTN001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21新余城建MTN001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22江津城建01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兴银理财天天万利宝稳利恒盈7号封闭式净值型理财产品第16期2022年半年度报告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051010100101342552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兴银理财天天万利宝稳利恒盈7号封闭式净值型理财产品第16期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2022年9月21日</w:t>
            </w:r>
          </w:p>
        </w:tc>
        <w:tc>
          <w:tcPr>
            <w:gridSpan w:val="4"/>
          </w:tcPr>
          <w:p>
            <w:pPr>
              <w:pStyle w:val="4"/>
            </w:pPr>
          </w:p>
        </w:tc>
        <w:tc>
          <w:p>
            <w:pPr>
              <w:pStyle w:val="4"/>
            </w:pPr>
          </w:p>
        </w:tc>
      </w:tr>
      <w:tr>
        <w:tblPrEx>
          <w:tblCellMar>
            <w:top w:w="0" w:type="dxa"/>
            <w:left w:w="10" w:type="dxa"/>
            <w:bottom w:w="0" w:type="dxa"/>
            <w:right w:w="10" w:type="dxa"/>
          </w:tblCellMar>
        </w:tblPrEx>
        <w:trPr>
          <w:trHeight w:val="1008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800"/>
  <w:compat>
    <w:useFELayout/>
    <w:splitPgBreakAndParaMark/>
    <w:compatSetting w:name="compatibilityMode" w:uri="http://schemas.microsoft.com/office/word" w:val="12"/>
  </w:compat>
  <w:docVars>
    <w:docVar w:name="commondata" w:val="eyJoZGlkIjoiZTcxYWVjY2FhZGEzYzllMjU0YTc0ZWEzZWQ4ZDJlMDkifQ=="/>
  </w:docVars>
  <w:rsids>
    <w:rsidRoot w:val="00000000"/>
    <w:rsid w:val="70764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3807</Words>
  <Characters>4949</Characters>
  <TotalTime>0</TotalTime>
  <ScaleCrop>false</ScaleCrop>
  <LinksUpToDate>false</LinksUpToDate>
  <CharactersWithSpaces>5094</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2022-09-16T06:16:16Z</dcterms:created>
  <dc:creator>lzy</dc:creator>
  <cp:lastModifiedBy>lzy</cp:lastModifiedBy>
  <dcterms:modified xsi:type="dcterms:W3CDTF">2022-09-16T06:16:28Z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78F33EED6DD742EAA987F4301EA9BD81</vt:lpwstr>
  </property>
</Properties>
</file>