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C39D1" w14:textId="77777777" w:rsidR="00DC6B98" w:rsidRDefault="00643D55" w:rsidP="00D31CD0">
      <w:pPr>
        <w:adjustRightInd w:val="0"/>
        <w:snapToGrid w:val="0"/>
        <w:spacing w:line="560" w:lineRule="exact"/>
        <w:outlineLvl w:val="0"/>
        <w:rPr>
          <w:rFonts w:cs="仿宋_GB2312"/>
          <w:szCs w:val="32"/>
        </w:rPr>
      </w:pPr>
      <w:r w:rsidRPr="00D31CD0">
        <w:rPr>
          <w:rFonts w:ascii="黑体" w:eastAsia="黑体" w:hAnsi="黑体" w:cs="黑体" w:hint="eastAsia"/>
          <w:szCs w:val="32"/>
        </w:rPr>
        <w:t>附件</w:t>
      </w:r>
      <w:r>
        <w:rPr>
          <w:rFonts w:cs="仿宋_GB2312" w:hint="eastAsia"/>
          <w:szCs w:val="32"/>
        </w:rPr>
        <w:t>6</w:t>
      </w:r>
    </w:p>
    <w:p w14:paraId="75FC39D2" w14:textId="77777777" w:rsidR="00DC6B98" w:rsidRDefault="00DC6B98" w:rsidP="00D31CD0">
      <w:pPr>
        <w:adjustRightInd w:val="0"/>
        <w:snapToGrid w:val="0"/>
        <w:spacing w:line="560" w:lineRule="exact"/>
        <w:jc w:val="center"/>
        <w:rPr>
          <w:rFonts w:eastAsia="方正小标宋_GBK"/>
          <w:sz w:val="44"/>
          <w:szCs w:val="44"/>
        </w:rPr>
      </w:pPr>
    </w:p>
    <w:p w14:paraId="75FC39D3" w14:textId="0F1CEB49" w:rsidR="00DC6B98" w:rsidRDefault="00643D55" w:rsidP="00D31CD0">
      <w:pPr>
        <w:adjustRightInd w:val="0"/>
        <w:snapToGrid w:val="0"/>
        <w:spacing w:line="560" w:lineRule="exact"/>
        <w:jc w:val="center"/>
        <w:rPr>
          <w:rFonts w:eastAsia="方正小标宋_GBK"/>
          <w:sz w:val="44"/>
          <w:szCs w:val="44"/>
        </w:rPr>
      </w:pPr>
      <w:r>
        <w:rPr>
          <w:rFonts w:eastAsia="方正小标宋_GBK" w:hint="eastAsia"/>
          <w:sz w:val="44"/>
          <w:szCs w:val="44"/>
        </w:rPr>
        <w:t>丰收信用卡村务卡领用合约</w:t>
      </w:r>
      <w:r>
        <w:rPr>
          <w:rFonts w:eastAsia="方正小标宋_GBK" w:cs="方正小标宋_GBK" w:hint="eastAsia"/>
          <w:sz w:val="44"/>
          <w:szCs w:val="40"/>
        </w:rPr>
        <w:t>（</w:t>
      </w:r>
      <w:r>
        <w:rPr>
          <w:rFonts w:eastAsia="方正小标宋_GBK" w:cs="方正小标宋_GBK" w:hint="eastAsia"/>
          <w:sz w:val="44"/>
          <w:szCs w:val="40"/>
        </w:rPr>
        <w:t>202</w:t>
      </w:r>
      <w:r w:rsidR="00962FCB">
        <w:rPr>
          <w:rFonts w:eastAsia="方正小标宋_GBK" w:cs="方正小标宋_GBK"/>
          <w:sz w:val="44"/>
          <w:szCs w:val="40"/>
        </w:rPr>
        <w:t>4</w:t>
      </w:r>
      <w:r>
        <w:rPr>
          <w:rFonts w:eastAsia="方正小标宋_GBK" w:cs="方正小标宋_GBK" w:hint="eastAsia"/>
          <w:sz w:val="44"/>
          <w:szCs w:val="40"/>
        </w:rPr>
        <w:t>版）</w:t>
      </w:r>
    </w:p>
    <w:p w14:paraId="75FC39D4" w14:textId="77777777" w:rsidR="00DC6B98" w:rsidRDefault="00DC6B98" w:rsidP="00D31CD0">
      <w:pPr>
        <w:adjustRightInd w:val="0"/>
        <w:snapToGrid w:val="0"/>
        <w:spacing w:line="560" w:lineRule="exact"/>
        <w:jc w:val="center"/>
        <w:rPr>
          <w:rFonts w:eastAsia="方正小标宋_GBK"/>
          <w:sz w:val="10"/>
          <w:szCs w:val="10"/>
        </w:rPr>
      </w:pPr>
    </w:p>
    <w:p w14:paraId="75FC39D5" w14:textId="77777777" w:rsidR="00DC6B98" w:rsidRDefault="00643D55">
      <w:pPr>
        <w:adjustRightInd w:val="0"/>
        <w:snapToGrid w:val="0"/>
        <w:spacing w:line="560" w:lineRule="exact"/>
        <w:ind w:firstLineChars="200" w:firstLine="640"/>
        <w:rPr>
          <w:szCs w:val="24"/>
        </w:rPr>
      </w:pPr>
      <w:r>
        <w:rPr>
          <w:rFonts w:hint="eastAsia"/>
          <w:szCs w:val="24"/>
        </w:rPr>
        <w:t>在阅读、理解并自愿遵守《浙江农商银行系统丰收信用卡章程》（以下简称章程）的基础上，丰收信用卡村务卡申请人</w:t>
      </w:r>
      <w:r>
        <w:rPr>
          <w:rFonts w:hint="eastAsia"/>
          <w:szCs w:val="24"/>
        </w:rPr>
        <w:t>/</w:t>
      </w:r>
      <w:r>
        <w:rPr>
          <w:rFonts w:hint="eastAsia"/>
          <w:szCs w:val="24"/>
        </w:rPr>
        <w:t>持卡人（以下简称客户）与浙江农商银行系统（含辖内所有农商银行、农信联社）发卡机构（以下简称发卡机构）就领用丰收信用卡村务卡的相关事宜达成共识，并签订合约如下：</w:t>
      </w:r>
    </w:p>
    <w:p w14:paraId="75FC39D6"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第一条</w:t>
      </w:r>
      <w:r w:rsidRPr="00D31CD0">
        <w:rPr>
          <w:rFonts w:ascii="黑体" w:eastAsia="黑体" w:hAnsi="黑体" w:cs="黑体"/>
          <w:szCs w:val="24"/>
        </w:rPr>
        <w:t xml:space="preserve"> </w:t>
      </w:r>
      <w:r>
        <w:rPr>
          <w:rFonts w:hint="eastAsia"/>
          <w:szCs w:val="24"/>
        </w:rPr>
        <w:t xml:space="preserve"> </w:t>
      </w:r>
      <w:r>
        <w:rPr>
          <w:rFonts w:hint="eastAsia"/>
          <w:szCs w:val="24"/>
        </w:rPr>
        <w:t>申领</w:t>
      </w:r>
    </w:p>
    <w:p w14:paraId="75FC39D7"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丰收信用卡村务卡（以下简称村务卡）是发卡机构向村集体组织（含其他集体经济组织主体）在职工作人员</w:t>
      </w:r>
      <w:r>
        <w:rPr>
          <w:rFonts w:hint="eastAsia"/>
          <w:color w:val="000000" w:themeColor="text1"/>
          <w:szCs w:val="24"/>
        </w:rPr>
        <w:t>发行的，可用于日常村级公务支出和财务报销的银联品牌人民币个人信用卡。村务卡</w:t>
      </w:r>
      <w:r>
        <w:rPr>
          <w:rFonts w:hint="eastAsia"/>
          <w:szCs w:val="24"/>
        </w:rPr>
        <w:t>可在信用额度内先使用后还款，并可循环使用其信用额度，具有消费、存现的基本功能，但无取现、分期付款等功能。</w:t>
      </w:r>
    </w:p>
    <w:p w14:paraId="75FC39D8" w14:textId="77777777" w:rsidR="00DC6B98" w:rsidRDefault="00643D55">
      <w:pPr>
        <w:adjustRightInd w:val="0"/>
        <w:snapToGrid w:val="0"/>
        <w:spacing w:line="560" w:lineRule="exact"/>
        <w:ind w:firstLineChars="200" w:firstLine="640"/>
        <w:rPr>
          <w:szCs w:val="24"/>
        </w:rPr>
      </w:pPr>
      <w:r>
        <w:rPr>
          <w:rFonts w:hint="eastAsia"/>
          <w:szCs w:val="24"/>
        </w:rPr>
        <w:t>村务卡使用村务卡专用账户并只能申请卡等级为金卡的主卡，即一卡一账户。</w:t>
      </w:r>
    </w:p>
    <w:p w14:paraId="75FC39D9" w14:textId="77777777" w:rsidR="00DC6B98" w:rsidRDefault="00643D55">
      <w:pPr>
        <w:adjustRightInd w:val="0"/>
        <w:snapToGrid w:val="0"/>
        <w:spacing w:line="560" w:lineRule="exact"/>
        <w:ind w:firstLineChars="200" w:firstLine="643"/>
        <w:rPr>
          <w:rFonts w:cs="仿宋_GB2312"/>
          <w:b/>
          <w:bCs/>
          <w:szCs w:val="32"/>
        </w:rPr>
      </w:pPr>
      <w:r>
        <w:rPr>
          <w:rFonts w:hint="eastAsia"/>
          <w:b/>
          <w:szCs w:val="24"/>
        </w:rPr>
        <w:t>2.</w:t>
      </w:r>
      <w:r>
        <w:rPr>
          <w:rFonts w:hint="eastAsia"/>
          <w:b/>
          <w:szCs w:val="24"/>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村务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75FC39DA" w14:textId="77777777" w:rsidR="00DC6B98" w:rsidRDefault="00643D55">
      <w:pPr>
        <w:adjustRightInd w:val="0"/>
        <w:snapToGrid w:val="0"/>
        <w:spacing w:line="560" w:lineRule="exact"/>
        <w:ind w:firstLineChars="200" w:firstLine="640"/>
        <w:rPr>
          <w:szCs w:val="24"/>
        </w:rPr>
      </w:pPr>
      <w:r>
        <w:rPr>
          <w:rFonts w:hint="eastAsia"/>
          <w:szCs w:val="24"/>
        </w:rPr>
        <w:t>3.</w:t>
      </w:r>
      <w:r>
        <w:rPr>
          <w:rFonts w:hint="eastAsia"/>
          <w:szCs w:val="24"/>
        </w:rPr>
        <w:t>发卡机构有权根据客户的资信状况决定是否同意客户的领卡申请并确定其账户信用额度。</w:t>
      </w:r>
    </w:p>
    <w:p w14:paraId="75FC39DB"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无论发卡机构是否批准客户的领卡申请，相关申请资料均不退回给客户，而由发卡机构进行妥善处理。</w:t>
      </w:r>
    </w:p>
    <w:p w14:paraId="75FC39DC"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客户对村务卡项下发生的债务承担全部清偿责任。如客户从所在的村集体组织离职，客户所在的村集体组织有权向发卡机构书面提出停止客户村务卡的使用。</w:t>
      </w:r>
    </w:p>
    <w:p w14:paraId="75FC39DD"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第二条</w:t>
      </w:r>
      <w:r>
        <w:rPr>
          <w:rFonts w:hint="eastAsia"/>
          <w:szCs w:val="24"/>
        </w:rPr>
        <w:t xml:space="preserve">  </w:t>
      </w:r>
      <w:r>
        <w:rPr>
          <w:rFonts w:hint="eastAsia"/>
          <w:szCs w:val="24"/>
        </w:rPr>
        <w:t>使用</w:t>
      </w:r>
    </w:p>
    <w:p w14:paraId="75FC39DE" w14:textId="77777777"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客户领取村务卡后，应立即在村务卡背面的签名栏内签上与申请表书写习惯、体例相同的本人签名，并在使用村务卡交易时使用相同的签名，否则，由此产生的损失由客户负责。</w:t>
      </w:r>
      <w:r>
        <w:rPr>
          <w:rFonts w:hint="eastAsia"/>
          <w:szCs w:val="24"/>
        </w:rPr>
        <w:t>发卡机构通过指定的途径向客户提供村务卡交易密码（以下简称密码）。</w:t>
      </w:r>
    </w:p>
    <w:p w14:paraId="75FC39DF"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收到村务卡后应及时激活卡片，卡片激活后方可享受信用额度。村务卡激活后，客户应支付年费，此后每年年费按对年对月的方式由发卡机构在客户村务卡账户中收取。客户转账使用信用额度的合计金额不得超过村务卡账户授信额度的</w:t>
      </w:r>
      <w:r>
        <w:rPr>
          <w:rFonts w:hint="eastAsia"/>
          <w:szCs w:val="24"/>
        </w:rPr>
        <w:t>50%</w:t>
      </w:r>
      <w:r>
        <w:rPr>
          <w:rFonts w:hint="eastAsia"/>
          <w:szCs w:val="24"/>
        </w:rPr>
        <w:t>。</w:t>
      </w:r>
    </w:p>
    <w:p w14:paraId="75FC39E0" w14:textId="77777777" w:rsidR="00DC6B98" w:rsidRDefault="00643D55">
      <w:pPr>
        <w:adjustRightInd w:val="0"/>
        <w:snapToGrid w:val="0"/>
        <w:spacing w:line="560" w:lineRule="exact"/>
        <w:ind w:firstLineChars="200" w:firstLine="640"/>
        <w:rPr>
          <w:b/>
          <w:szCs w:val="24"/>
        </w:rPr>
      </w:pPr>
      <w:r>
        <w:rPr>
          <w:rFonts w:hint="eastAsia"/>
          <w:szCs w:val="24"/>
        </w:rPr>
        <w:t>3.</w:t>
      </w:r>
      <w:r>
        <w:rPr>
          <w:rFonts w:hint="eastAsia"/>
          <w:szCs w:val="24"/>
        </w:rPr>
        <w:t>客户凭卡在境内带有银联受理标识的特约商户消费结账的确认方式为“密码</w:t>
      </w:r>
      <w:r>
        <w:rPr>
          <w:rFonts w:hint="eastAsia"/>
          <w:szCs w:val="24"/>
        </w:rPr>
        <w:t>+</w:t>
      </w:r>
      <w:r>
        <w:rPr>
          <w:rFonts w:hint="eastAsia"/>
          <w:szCs w:val="24"/>
        </w:rPr>
        <w:t>签名”，在境外带有银联受理标识的特约商户消费结账的确认方式为“密码</w:t>
      </w:r>
      <w:r>
        <w:rPr>
          <w:rFonts w:hint="eastAsia"/>
          <w:szCs w:val="24"/>
        </w:rPr>
        <w:t>+</w:t>
      </w:r>
      <w:r>
        <w:rPr>
          <w:rFonts w:hint="eastAsia"/>
          <w:szCs w:val="24"/>
        </w:rPr>
        <w:t>签名”或“签名”，但客户与发卡机构另有约定</w:t>
      </w:r>
      <w:r>
        <w:rPr>
          <w:rFonts w:cs="仿宋_GB2312" w:hint="eastAsia"/>
          <w:szCs w:val="32"/>
        </w:rPr>
        <w:t>或受理机构、信用卡组织另有规定</w:t>
      </w:r>
      <w:r>
        <w:rPr>
          <w:rFonts w:hint="eastAsia"/>
          <w:szCs w:val="24"/>
        </w:rPr>
        <w:t>的除外（如“小额免密免签”服务、“现场无磁消费”业务等）。客户可在浙江农商银行系统所属网点及联网的他行网点存入人民币现金。</w:t>
      </w:r>
    </w:p>
    <w:p w14:paraId="75FC39E1" w14:textId="77777777" w:rsidR="00DC6B98" w:rsidRDefault="00643D55">
      <w:pPr>
        <w:numPr>
          <w:ilvl w:val="255"/>
          <w:numId w:val="0"/>
        </w:numPr>
        <w:tabs>
          <w:tab w:val="left" w:pos="0"/>
        </w:tabs>
        <w:spacing w:line="560" w:lineRule="exact"/>
        <w:ind w:firstLineChars="200" w:firstLine="643"/>
        <w:rPr>
          <w:b/>
          <w:szCs w:val="24"/>
        </w:rPr>
      </w:pPr>
      <w:r>
        <w:rPr>
          <w:rFonts w:cs="仿宋_GB2312" w:hint="eastAsia"/>
          <w:b/>
          <w:szCs w:val="24"/>
        </w:rPr>
        <w:t>客户在境外通过银联网络使用村务卡进行的交易以人民币进行结算，由此所产生的其他货币与人民币的清算汇率依照中国银联的规定办理，客户同意承担因上述情形可能产生的所有汇兑风险、损失和费用。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在出境前按发卡机构提供的方式进行报备，以免因发卡机构无法联系上客户，对其卡片进行限制交易；在境外使用村务卡消费须遵从国家外汇管理相关限额规定。</w:t>
      </w:r>
    </w:p>
    <w:p w14:paraId="75FC39E2" w14:textId="77777777" w:rsidR="00DC6B98" w:rsidRDefault="00643D55">
      <w:pPr>
        <w:adjustRightInd w:val="0"/>
        <w:snapToGrid w:val="0"/>
        <w:spacing w:line="560" w:lineRule="exact"/>
        <w:ind w:firstLineChars="200" w:firstLine="643"/>
        <w:rPr>
          <w:b/>
          <w:szCs w:val="24"/>
        </w:rPr>
      </w:pPr>
      <w:r>
        <w:rPr>
          <w:rFonts w:hint="eastAsia"/>
          <w:b/>
          <w:szCs w:val="24"/>
        </w:rPr>
        <w:t>带“闪付”标识的村务卡具有“闪付”和“小额免密免签”功能，客户在支持“闪付”和“小额免密免签”功能的特约商户进行一定金额（具体由银联规定）以下的非接触方式消费时，无需输入密码也无需在电子付款凭证上签名确认即可完成支付。</w:t>
      </w:r>
      <w:r>
        <w:rPr>
          <w:rFonts w:hint="eastAsia"/>
          <w:b/>
          <w:szCs w:val="32"/>
        </w:rPr>
        <w:t>闪付、小额免密免签交易等非接触式交易均视为本人交易，客户需承担因交易而产生的责任。</w:t>
      </w:r>
      <w:r>
        <w:rPr>
          <w:rFonts w:hint="eastAsia"/>
          <w:b/>
          <w:szCs w:val="24"/>
        </w:rPr>
        <w:t>客户可通过发卡机构营业网点、电话银行渠道选择关闭“小额免密免签”功能。</w:t>
      </w:r>
    </w:p>
    <w:p w14:paraId="75FC39E3" w14:textId="77777777" w:rsidR="00DC6B98" w:rsidRDefault="00643D55">
      <w:pPr>
        <w:adjustRightInd w:val="0"/>
        <w:snapToGrid w:val="0"/>
        <w:spacing w:line="560" w:lineRule="exact"/>
        <w:ind w:firstLineChars="200" w:firstLine="640"/>
        <w:rPr>
          <w:szCs w:val="24"/>
        </w:rPr>
      </w:pPr>
      <w:r>
        <w:rPr>
          <w:szCs w:val="24"/>
        </w:rPr>
        <w:t>4.</w:t>
      </w:r>
      <w:r>
        <w:rPr>
          <w:rFonts w:hint="eastAsia"/>
          <w:szCs w:val="24"/>
        </w:rPr>
        <w:t>客户可使用密码（含动态密码，下同）进行交易。凡因交易性质、习惯，或按银行卡组织、发卡机构规定或依客户选择不使用密码的交易，包括但不限于不校验密码的刷卡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75FC39E4" w14:textId="77777777" w:rsidR="00DC6B98" w:rsidRDefault="00643D55">
      <w:pPr>
        <w:adjustRightInd w:val="0"/>
        <w:snapToGrid w:val="0"/>
        <w:spacing w:line="560" w:lineRule="exact"/>
        <w:ind w:firstLineChars="200" w:firstLine="643"/>
        <w:rPr>
          <w:b/>
          <w:szCs w:val="24"/>
        </w:rPr>
      </w:pPr>
      <w:r>
        <w:rPr>
          <w:rFonts w:hint="eastAsia"/>
          <w:b/>
          <w:szCs w:val="24"/>
        </w:rPr>
        <w:t>经密码或验证要素校验通过，交易（含预授权交易）即视为客户本人所为并由客户承担交易款项。基于客户签字形成的交易凭证和</w:t>
      </w:r>
      <w:r>
        <w:rPr>
          <w:rFonts w:hint="eastAsia"/>
          <w:b/>
          <w:szCs w:val="24"/>
        </w:rPr>
        <w:t>/</w:t>
      </w:r>
      <w:r>
        <w:rPr>
          <w:rFonts w:hint="eastAsia"/>
          <w:b/>
          <w:szCs w:val="24"/>
        </w:rPr>
        <w:t>或凭其他验证要素、密码产生的信息记录之一或全部均属于该项交易的有效凭据。</w:t>
      </w:r>
    </w:p>
    <w:p w14:paraId="75FC39E5" w14:textId="77777777" w:rsidR="00DC6B98" w:rsidRDefault="00643D55">
      <w:pPr>
        <w:adjustRightInd w:val="0"/>
        <w:snapToGrid w:val="0"/>
        <w:spacing w:line="560" w:lineRule="exact"/>
        <w:ind w:firstLineChars="200" w:firstLine="64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客户应在有安全技术保障的互联网上和安全的商户环境中使用村务卡，并且妥善保管村务卡卡号、密码、移动设备以及验证要素，</w:t>
      </w:r>
      <w:r>
        <w:rPr>
          <w:rFonts w:hint="eastAsia"/>
          <w:b/>
          <w:bCs/>
          <w:szCs w:val="32"/>
        </w:rPr>
        <w:t>防止信息丢失或泄露，因信用卡、密码、移动设备以及验证要素保管或使用不当产生的后果或损失应由客户自行承担。</w:t>
      </w:r>
    </w:p>
    <w:p w14:paraId="75FC39E6" w14:textId="77777777" w:rsidR="00DC6B98" w:rsidRDefault="00643D55">
      <w:pPr>
        <w:adjustRightInd w:val="0"/>
        <w:snapToGrid w:val="0"/>
        <w:spacing w:line="560" w:lineRule="exact"/>
        <w:ind w:firstLineChars="200" w:firstLine="640"/>
        <w:rPr>
          <w:szCs w:val="24"/>
        </w:rPr>
      </w:pPr>
      <w:r>
        <w:rPr>
          <w:rFonts w:hint="eastAsia"/>
          <w:szCs w:val="24"/>
        </w:rPr>
        <w:t>5.</w:t>
      </w:r>
      <w:r>
        <w:rPr>
          <w:rFonts w:hint="eastAsia"/>
          <w:szCs w:val="24"/>
        </w:rPr>
        <w:t>客户因使用村务卡而发生的交易款项、利息和费用等，由发卡机构在客户账户内直接以人民币记账。客户承担透支款项的还款责任，并在对账单所规定的到期还款日或之前还款。</w:t>
      </w:r>
    </w:p>
    <w:p w14:paraId="75FC39E7"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客户与特约商户或其它第三方的交易纠纷应自行解决，发卡机构不负任何责任，客户不得以此拒偿因使用村务卡交易所产生的债务，客户也不得以退还使用村务卡交易取得的货物等方式向发卡机构索取退款。</w:t>
      </w:r>
    </w:p>
    <w:p w14:paraId="75FC39E8" w14:textId="77777777"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发卡机构可以根据客户资信状况、村务卡的使用状况</w:t>
      </w:r>
      <w:r>
        <w:rPr>
          <w:rFonts w:hint="eastAsia"/>
          <w:b/>
          <w:bCs/>
          <w:szCs w:val="32"/>
        </w:rPr>
        <w:t>动态管理客户授信额度，对符合条件的客户，经客户同意后可调升村务卡授信额度</w:t>
      </w:r>
      <w:r>
        <w:rPr>
          <w:rFonts w:hint="eastAsia"/>
          <w:b/>
          <w:szCs w:val="24"/>
        </w:rPr>
        <w:t>。发卡机构可以对超过</w:t>
      </w:r>
      <w:r>
        <w:rPr>
          <w:rFonts w:hint="eastAsia"/>
          <w:b/>
          <w:szCs w:val="24"/>
        </w:rPr>
        <w:t>6</w:t>
      </w:r>
      <w:r>
        <w:rPr>
          <w:rFonts w:hint="eastAsia"/>
          <w:b/>
          <w:szCs w:val="24"/>
        </w:rPr>
        <w:t>个月未发生交易的村务卡调减信用额度并提前</w:t>
      </w:r>
      <w:r>
        <w:rPr>
          <w:rFonts w:hint="eastAsia"/>
          <w:b/>
          <w:szCs w:val="24"/>
        </w:rPr>
        <w:t>3</w:t>
      </w:r>
      <w:r>
        <w:rPr>
          <w:rFonts w:hint="eastAsia"/>
          <w:b/>
          <w:szCs w:val="24"/>
        </w:rPr>
        <w:t>个工作日以短信或其他合适的方式告知客户。客户无论收到通知与否均须清偿已经发生的交易款项、利息及费用或其他应付款项。</w:t>
      </w:r>
    </w:p>
    <w:p w14:paraId="75FC39E9" w14:textId="77777777"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客户若发生村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自挂失生效后发生的非持卡人所为而造成的债务和损失不再由持卡人承担，但因以下情形之一造成的债务和损失仍应由持卡人承担</w:t>
      </w:r>
      <w:r>
        <w:rPr>
          <w:rFonts w:hint="eastAsia"/>
          <w:b/>
          <w:szCs w:val="24"/>
        </w:rPr>
        <w:t xml:space="preserve">: </w:t>
      </w:r>
      <w:r>
        <w:rPr>
          <w:rFonts w:hint="eastAsia"/>
          <w:b/>
          <w:szCs w:val="24"/>
        </w:rPr>
        <w:t>国家有权机关依法扣划卡内资金</w:t>
      </w:r>
      <w:r>
        <w:rPr>
          <w:rFonts w:hint="eastAsia"/>
          <w:b/>
          <w:szCs w:val="24"/>
        </w:rPr>
        <w:t>;</w:t>
      </w:r>
      <w:r>
        <w:rPr>
          <w:rFonts w:hint="eastAsia"/>
          <w:b/>
          <w:szCs w:val="24"/>
        </w:rPr>
        <w:t>持卡人有欺诈或其他不诚实行为</w:t>
      </w:r>
      <w:r>
        <w:rPr>
          <w:rFonts w:hint="eastAsia"/>
          <w:b/>
          <w:szCs w:val="24"/>
        </w:rPr>
        <w:t>;</w:t>
      </w:r>
      <w:r>
        <w:rPr>
          <w:rFonts w:hint="eastAsia"/>
          <w:b/>
          <w:szCs w:val="24"/>
        </w:rPr>
        <w:t>发卡机构调查情况遭持卡人拒绝</w:t>
      </w:r>
      <w:r>
        <w:rPr>
          <w:rFonts w:hint="eastAsia"/>
          <w:b/>
          <w:szCs w:val="24"/>
        </w:rPr>
        <w:t>;</w:t>
      </w:r>
      <w:r>
        <w:rPr>
          <w:rFonts w:hint="eastAsia"/>
          <w:b/>
          <w:szCs w:val="24"/>
        </w:rPr>
        <w:t>遗失或被窃村务卡无持卡人签名。挂失生效前村务卡产生的损失由持卡人承担，发卡机构不承担任何责任，但发卡机构存在法律、法规规定的过错或与持卡人另有约定的除外。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14:paraId="75FC39EA" w14:textId="77777777" w:rsidR="00DC6B98" w:rsidRDefault="00643D55">
      <w:pPr>
        <w:adjustRightInd w:val="0"/>
        <w:snapToGrid w:val="0"/>
        <w:spacing w:line="560" w:lineRule="exact"/>
        <w:ind w:firstLineChars="200" w:firstLine="640"/>
        <w:rPr>
          <w:szCs w:val="24"/>
        </w:rPr>
      </w:pPr>
      <w:r>
        <w:rPr>
          <w:rFonts w:hint="eastAsia"/>
          <w:szCs w:val="24"/>
        </w:rPr>
        <w:t>9.</w:t>
      </w:r>
      <w:r>
        <w:rPr>
          <w:rFonts w:hint="eastAsia"/>
          <w:szCs w:val="24"/>
        </w:rPr>
        <w:t>村务卡损坏时，客户可向发卡机构要求办理补换卡手续并按规定支付补换卡手续费。</w:t>
      </w:r>
    </w:p>
    <w:p w14:paraId="75FC39EB" w14:textId="77777777" w:rsidR="00DC6B98" w:rsidRDefault="00643D55">
      <w:pPr>
        <w:adjustRightInd w:val="0"/>
        <w:snapToGrid w:val="0"/>
        <w:spacing w:line="560" w:lineRule="exact"/>
        <w:ind w:firstLineChars="200" w:firstLine="643"/>
        <w:rPr>
          <w:b/>
          <w:szCs w:val="24"/>
        </w:rPr>
      </w:pPr>
      <w:r>
        <w:rPr>
          <w:rFonts w:hint="eastAsia"/>
          <w:b/>
          <w:szCs w:val="24"/>
        </w:rPr>
        <w:t>10.</w:t>
      </w:r>
      <w:r>
        <w:rPr>
          <w:rFonts w:hint="eastAsia"/>
          <w:b/>
          <w:szCs w:val="24"/>
        </w:rPr>
        <w:t>若客户有下列情形之一：（</w:t>
      </w:r>
      <w:r>
        <w:rPr>
          <w:rFonts w:hint="eastAsia"/>
          <w:b/>
          <w:szCs w:val="24"/>
        </w:rPr>
        <w:t>1</w:t>
      </w:r>
      <w:r>
        <w:rPr>
          <w:rFonts w:hint="eastAsia"/>
          <w:b/>
          <w:szCs w:val="24"/>
        </w:rPr>
        <w:t>）客户出租、出售或转借卡或以其它方法使第三人占有或使用；（</w:t>
      </w:r>
      <w:r>
        <w:rPr>
          <w:rFonts w:hint="eastAsia"/>
          <w:b/>
          <w:szCs w:val="24"/>
        </w:rPr>
        <w:t>2</w:t>
      </w:r>
      <w:r>
        <w:rPr>
          <w:rFonts w:hint="eastAsia"/>
          <w:b/>
          <w:szCs w:val="24"/>
        </w:rPr>
        <w:t>）有洗钱、诈骗、套现等违反法律法规的行为或被发卡机构认为有上述违反法律法规的嫌疑或可能性；（</w:t>
      </w:r>
      <w:r>
        <w:rPr>
          <w:rFonts w:hint="eastAsia"/>
          <w:b/>
          <w:szCs w:val="24"/>
        </w:rPr>
        <w:t>3</w:t>
      </w:r>
      <w:r>
        <w:rPr>
          <w:rFonts w:hint="eastAsia"/>
          <w:b/>
          <w:szCs w:val="24"/>
        </w:rPr>
        <w:t>）出现身份证件被盗用、家庭财务状况恶化、还款能力下降、预留联系方式失效、资信状况恶化、有非正常用卡行为或其他风险信息时；（</w:t>
      </w:r>
      <w:r>
        <w:rPr>
          <w:rFonts w:hint="eastAsia"/>
          <w:b/>
          <w:szCs w:val="24"/>
        </w:rPr>
        <w:t>4</w:t>
      </w:r>
      <w:r>
        <w:rPr>
          <w:rFonts w:hint="eastAsia"/>
          <w:b/>
          <w:szCs w:val="24"/>
        </w:rPr>
        <w:t>）将信用卡用于生产经营、投资等非消费领域。发卡机构有权不经通知、提醒而直接采取以下措施中的一项或多项：（</w:t>
      </w:r>
      <w:r>
        <w:rPr>
          <w:rFonts w:hint="eastAsia"/>
          <w:b/>
          <w:szCs w:val="24"/>
        </w:rPr>
        <w:t>1</w:t>
      </w:r>
      <w:r>
        <w:rPr>
          <w:rFonts w:hint="eastAsia"/>
          <w:b/>
          <w:szCs w:val="24"/>
        </w:rPr>
        <w:t>）对客户进行警告；（</w:t>
      </w:r>
      <w:r>
        <w:rPr>
          <w:rFonts w:hint="eastAsia"/>
          <w:b/>
          <w:szCs w:val="24"/>
        </w:rPr>
        <w:t>2</w:t>
      </w:r>
      <w:r>
        <w:rPr>
          <w:rFonts w:hint="eastAsia"/>
          <w:b/>
          <w:szCs w:val="24"/>
        </w:rPr>
        <w:t>）调减客户的信用额度；（</w:t>
      </w:r>
      <w:r>
        <w:rPr>
          <w:rFonts w:hint="eastAsia"/>
          <w:b/>
          <w:szCs w:val="24"/>
        </w:rPr>
        <w:t>3</w:t>
      </w:r>
      <w:r>
        <w:rPr>
          <w:rFonts w:hint="eastAsia"/>
          <w:b/>
          <w:szCs w:val="24"/>
        </w:rPr>
        <w:t>）中止客户使用村务卡；（</w:t>
      </w:r>
      <w:r>
        <w:rPr>
          <w:rFonts w:hint="eastAsia"/>
          <w:b/>
          <w:szCs w:val="24"/>
        </w:rPr>
        <w:t>4</w:t>
      </w:r>
      <w:r>
        <w:rPr>
          <w:rFonts w:hint="eastAsia"/>
          <w:b/>
          <w:szCs w:val="24"/>
        </w:rPr>
        <w:t>）自行收回或授权所属机构和特约商户没收村务卡；（</w:t>
      </w:r>
      <w:r>
        <w:rPr>
          <w:rFonts w:hint="eastAsia"/>
          <w:b/>
          <w:szCs w:val="24"/>
        </w:rPr>
        <w:t>5</w:t>
      </w:r>
      <w:r>
        <w:rPr>
          <w:rFonts w:hint="eastAsia"/>
          <w:b/>
          <w:szCs w:val="24"/>
        </w:rPr>
        <w:t>）将客户村务卡列入止付名单。在以上情况下，客户应继续承担偿还全部欠款的义务，且全部未偿债务均视为到期并须一次性清偿。发卡机构采取以上措施后有权决定是否通知客户。</w:t>
      </w:r>
    </w:p>
    <w:p w14:paraId="75FC39EC" w14:textId="77777777" w:rsidR="00DC6B98" w:rsidRDefault="00643D55">
      <w:pPr>
        <w:adjustRightInd w:val="0"/>
        <w:snapToGrid w:val="0"/>
        <w:spacing w:line="560" w:lineRule="exact"/>
        <w:ind w:firstLineChars="200" w:firstLine="643"/>
        <w:rPr>
          <w:b/>
          <w:szCs w:val="24"/>
        </w:rPr>
      </w:pPr>
      <w:r>
        <w:rPr>
          <w:rFonts w:hint="eastAsia"/>
          <w:b/>
          <w:szCs w:val="24"/>
        </w:rPr>
        <w:t>11.</w:t>
      </w:r>
      <w:r>
        <w:rPr>
          <w:rFonts w:hint="eastAsia"/>
          <w:b/>
          <w:szCs w:val="24"/>
        </w:rPr>
        <w:t>客户可通过自助设备或其他发卡机构认可的网上渠道进行村务卡转账。客户使用村务卡账户的透支额度向本人的其他账户转账视同使用村务卡进行预借现金交易。客户不得将其村务卡预借现金额度内的资金划转至其他信用卡以及非本人的银行结算账户或他人在非银行支付机构开立的支付账户。</w:t>
      </w:r>
    </w:p>
    <w:p w14:paraId="75FC39ED" w14:textId="77777777" w:rsidR="00DC6B98" w:rsidRDefault="00643D55">
      <w:pPr>
        <w:adjustRightInd w:val="0"/>
        <w:snapToGrid w:val="0"/>
        <w:spacing w:line="560" w:lineRule="exact"/>
        <w:ind w:firstLineChars="200" w:firstLine="643"/>
        <w:rPr>
          <w:b/>
          <w:szCs w:val="24"/>
        </w:rPr>
      </w:pPr>
      <w:r>
        <w:rPr>
          <w:rFonts w:hint="eastAsia"/>
          <w:b/>
          <w:szCs w:val="24"/>
        </w:rPr>
        <w:t>12.</w:t>
      </w:r>
      <w:r>
        <w:rPr>
          <w:rFonts w:hint="eastAsia"/>
          <w:b/>
          <w:szCs w:val="24"/>
        </w:rPr>
        <w:t>客户同意发卡机构可根据法律、法规、规章及其他规范性文件或风险管理需要，对客户在柜面、非柜面或特约商户等渠道的村务卡消费、转账等交易设定限制或限额。</w:t>
      </w:r>
    </w:p>
    <w:p w14:paraId="75FC39EE"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第三条</w:t>
      </w:r>
      <w:r>
        <w:rPr>
          <w:rFonts w:hint="eastAsia"/>
          <w:szCs w:val="24"/>
        </w:rPr>
        <w:t xml:space="preserve">  </w:t>
      </w:r>
      <w:r>
        <w:rPr>
          <w:rFonts w:hint="eastAsia"/>
          <w:szCs w:val="24"/>
        </w:rPr>
        <w:t>对账</w:t>
      </w:r>
    </w:p>
    <w:p w14:paraId="75FC39EF"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14:paraId="75FC39F0" w14:textId="77777777"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客户有权向发卡机构索取对账单，自索取日起前</w:t>
      </w:r>
      <w:r>
        <w:rPr>
          <w:rFonts w:hint="eastAsia"/>
          <w:szCs w:val="24"/>
        </w:rPr>
        <w:t>12</w:t>
      </w:r>
      <w:r>
        <w:rPr>
          <w:rFonts w:hint="eastAsia"/>
          <w:szCs w:val="24"/>
        </w:rPr>
        <w:t>个月内的账单免费，索取其他时期的对账单需按规定支付补制对账单手续费。</w:t>
      </w:r>
      <w:r>
        <w:rPr>
          <w:rFonts w:hint="eastAsia"/>
          <w:b/>
          <w:szCs w:val="24"/>
        </w:rPr>
        <w:t>客户在最近的账单日后</w:t>
      </w:r>
      <w:r>
        <w:rPr>
          <w:rFonts w:hint="eastAsia"/>
          <w:b/>
          <w:szCs w:val="24"/>
        </w:rPr>
        <w:t>15</w:t>
      </w:r>
      <w:r>
        <w:rPr>
          <w:rFonts w:hint="eastAsia"/>
          <w:b/>
          <w:szCs w:val="24"/>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如经查证认定相关交易应属有效的村务卡交易，客户应承担调阅签购单手续费及查证过程中可能发生的鉴定及其他额外费用、该交易款项及相关利息和费用。</w:t>
      </w:r>
      <w:r>
        <w:rPr>
          <w:rFonts w:hint="eastAsia"/>
          <w:b/>
          <w:szCs w:val="24"/>
        </w:rPr>
        <w:t>在发卡机构协助查核时，客户应提供与争端交易相关的文件，因客户在规定时限内没有提供相关文件而导致的损失由客户承担。</w:t>
      </w:r>
    </w:p>
    <w:p w14:paraId="75FC39F1"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第四条</w:t>
      </w:r>
      <w:r w:rsidRPr="00D31CD0">
        <w:rPr>
          <w:rFonts w:ascii="黑体" w:eastAsia="黑体" w:hAnsi="黑体" w:cs="黑体"/>
          <w:szCs w:val="24"/>
        </w:rPr>
        <w:t xml:space="preserve"> </w:t>
      </w:r>
      <w:r>
        <w:rPr>
          <w:rFonts w:hint="eastAsia"/>
          <w:szCs w:val="24"/>
        </w:rPr>
        <w:t xml:space="preserve"> </w:t>
      </w:r>
      <w:r>
        <w:rPr>
          <w:rFonts w:hint="eastAsia"/>
          <w:szCs w:val="24"/>
        </w:rPr>
        <w:t>计息及还款</w:t>
      </w:r>
    </w:p>
    <w:p w14:paraId="75FC39F2"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客户除转账外的交易从银行记账日起至对账单通知的到期还款日（含）止为免息还款期。到期还款日为账单日后第</w:t>
      </w:r>
      <w:r>
        <w:rPr>
          <w:rFonts w:hint="eastAsia"/>
          <w:b/>
          <w:szCs w:val="24"/>
        </w:rPr>
        <w:t>25</w:t>
      </w:r>
      <w:r>
        <w:rPr>
          <w:rFonts w:hint="eastAsia"/>
          <w:b/>
          <w:szCs w:val="24"/>
        </w:rPr>
        <w:t>日，客户在到期还款日（含）前偿还对账单所列的全部应还款额的，则无需支付除转账外的交易的透支利息。</w:t>
      </w:r>
    </w:p>
    <w:p w14:paraId="75FC39F3"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客户可按照发卡机构规定的最低还款额还款。</w:t>
      </w:r>
      <w:r>
        <w:rPr>
          <w:rFonts w:cs="仿宋_GB2312" w:hint="eastAsia"/>
          <w:szCs w:val="32"/>
        </w:rPr>
        <w:t>最低还款额为发卡机构规定的客户应该偿还的最低金额，</w:t>
      </w:r>
      <w:r>
        <w:rPr>
          <w:rFonts w:hint="eastAsia"/>
          <w:szCs w:val="24"/>
        </w:rPr>
        <w:t>最低还款额</w:t>
      </w:r>
      <w:r>
        <w:rPr>
          <w:rFonts w:hint="eastAsia"/>
          <w:szCs w:val="24"/>
        </w:rPr>
        <w:t>=</w:t>
      </w:r>
      <w:r>
        <w:rPr>
          <w:rFonts w:hint="eastAsia"/>
          <w:szCs w:val="24"/>
        </w:rPr>
        <w:t>（本期账单余额</w:t>
      </w:r>
      <w:r>
        <w:rPr>
          <w:rFonts w:hint="eastAsia"/>
          <w:szCs w:val="24"/>
        </w:rPr>
        <w:t>-</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r>
        <w:rPr>
          <w:rFonts w:hint="eastAsia"/>
          <w:szCs w:val="24"/>
        </w:rPr>
        <w:t>*10%+</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p>
    <w:p w14:paraId="75FC39F4" w14:textId="637B00D2"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客户未能在到期还款日（含）前全额还款的（上期应还款额未清偿部分小于或等于</w:t>
      </w:r>
      <w:r>
        <w:rPr>
          <w:rFonts w:hint="eastAsia"/>
          <w:b/>
          <w:szCs w:val="24"/>
        </w:rPr>
        <w:t>10</w:t>
      </w:r>
      <w:r w:rsidR="00962FCB">
        <w:rPr>
          <w:b/>
          <w:szCs w:val="24"/>
        </w:rPr>
        <w:t>0</w:t>
      </w:r>
      <w:r>
        <w:rPr>
          <w:rFonts w:hint="eastAsia"/>
          <w:b/>
          <w:szCs w:val="24"/>
        </w:rPr>
        <w:t>元的除外）不享受免息还款期待遇。</w:t>
      </w:r>
    </w:p>
    <w:p w14:paraId="75FC39F5" w14:textId="77777777" w:rsidR="00DC6B98" w:rsidRDefault="00643D55">
      <w:pPr>
        <w:adjustRightInd w:val="0"/>
        <w:snapToGrid w:val="0"/>
        <w:spacing w:line="560" w:lineRule="exact"/>
        <w:ind w:firstLineChars="200" w:firstLine="643"/>
        <w:rPr>
          <w:b/>
          <w:szCs w:val="24"/>
        </w:rPr>
      </w:pPr>
      <w:r>
        <w:rPr>
          <w:rFonts w:hint="eastAsia"/>
          <w:b/>
          <w:szCs w:val="24"/>
        </w:rPr>
        <w:t>不享受免息还款期待遇的，已偿还部分按透支利率计收自银行记账日至还款日的利息，未偿还部分按透支利率自银行记账日持续计息。</w:t>
      </w:r>
    </w:p>
    <w:p w14:paraId="75FC39F6" w14:textId="00DB6610" w:rsidR="00DC6B98" w:rsidRDefault="00643D55">
      <w:pPr>
        <w:adjustRightInd w:val="0"/>
        <w:snapToGrid w:val="0"/>
        <w:spacing w:line="560" w:lineRule="exact"/>
        <w:ind w:firstLineChars="200" w:firstLine="643"/>
        <w:rPr>
          <w:b/>
          <w:szCs w:val="24"/>
        </w:rPr>
      </w:pPr>
      <w:r>
        <w:rPr>
          <w:rFonts w:hint="eastAsia"/>
          <w:b/>
          <w:szCs w:val="24"/>
        </w:rPr>
        <w:t>如还款后上期应还款额未清偿部分小于或等于</w:t>
      </w:r>
      <w:r>
        <w:rPr>
          <w:rFonts w:hint="eastAsia"/>
          <w:b/>
          <w:szCs w:val="24"/>
        </w:rPr>
        <w:t>10</w:t>
      </w:r>
      <w:r w:rsidR="00962FCB">
        <w:rPr>
          <w:b/>
          <w:szCs w:val="24"/>
        </w:rPr>
        <w:t>0</w:t>
      </w:r>
      <w:bookmarkStart w:id="0" w:name="_GoBack"/>
      <w:bookmarkEnd w:id="0"/>
      <w:r>
        <w:rPr>
          <w:rFonts w:hint="eastAsia"/>
          <w:b/>
          <w:szCs w:val="24"/>
        </w:rPr>
        <w:t>元，则剩余未清偿金额中属于转账交易的按透支利率自银行记账日持续计息，除转账外的交易的未偿还部分免息。</w:t>
      </w:r>
    </w:p>
    <w:p w14:paraId="75FC39F7"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客户未能在到期还款日（含）前偿还最低还款额的，除应支付透支利息之外，还应对最低还款额未还部分按收费表规定的收费标准按月支付违约金。</w:t>
      </w:r>
    </w:p>
    <w:p w14:paraId="75FC39F8"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持卡人账户结计的费用永久免息。</w:t>
      </w:r>
    </w:p>
    <w:p w14:paraId="75FC39F9"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客户转账使用信用额度的，不享受免息还款期待遇，发卡机构将从银行记账日起计收透支款项的利息至该笔款项获得清偿时止。</w:t>
      </w:r>
    </w:p>
    <w:p w14:paraId="75FC39FA" w14:textId="77777777"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村务卡透支利率为日利率万分之五，对应的年化利率（单利）为</w:t>
      </w:r>
      <w:r>
        <w:rPr>
          <w:b/>
          <w:szCs w:val="24"/>
        </w:rPr>
        <w:t xml:space="preserve"> 18</w:t>
      </w:r>
      <w:r>
        <w:rPr>
          <w:rFonts w:hint="eastAsia"/>
          <w:b/>
          <w:szCs w:val="24"/>
        </w:rPr>
        <w:t>.25</w:t>
      </w:r>
      <w:r>
        <w:rPr>
          <w:b/>
          <w:szCs w:val="24"/>
        </w:rPr>
        <w:t>%</w:t>
      </w:r>
      <w:r>
        <w:rPr>
          <w:rFonts w:hint="eastAsia"/>
          <w:b/>
          <w:szCs w:val="24"/>
        </w:rPr>
        <w:t>，受大小月天数不同等客观因素的影响，实际年化利率与上述年化利率可能存在差异。若发卡机构对客户村务卡账户的透支利率变动，将以</w:t>
      </w:r>
      <w:r>
        <w:rPr>
          <w:rFonts w:hint="eastAsia"/>
          <w:b/>
          <w:szCs w:val="32"/>
        </w:rPr>
        <w:t>网站公告、官方微信、手机银行、网上银行、</w:t>
      </w:r>
      <w:r>
        <w:rPr>
          <w:rFonts w:hint="eastAsia"/>
          <w:b/>
          <w:szCs w:val="24"/>
        </w:rPr>
        <w:t>对账单、短信或其他合适的方式</w:t>
      </w:r>
      <w:r>
        <w:rPr>
          <w:rFonts w:hint="eastAsia"/>
          <w:b/>
          <w:szCs w:val="32"/>
        </w:rPr>
        <w:t>（发卡机构有权根据实际业务情况选择一种或多种方式）</w:t>
      </w:r>
      <w:r>
        <w:rPr>
          <w:rFonts w:hint="eastAsia"/>
          <w:b/>
          <w:szCs w:val="24"/>
        </w:rPr>
        <w:t>通知客户。</w:t>
      </w:r>
      <w:r>
        <w:rPr>
          <w:rFonts w:hint="eastAsia"/>
          <w:b/>
          <w:bCs/>
          <w:szCs w:val="24"/>
        </w:rPr>
        <w:t>透支利息的结息日为账单日，在次日起息，按月计收复利。复利计收对象包括本金、透支利息等欠款。</w:t>
      </w:r>
    </w:p>
    <w:p w14:paraId="75FC39FB" w14:textId="77777777" w:rsidR="00DC6B98" w:rsidRDefault="00643D55">
      <w:pPr>
        <w:adjustRightInd w:val="0"/>
        <w:snapToGrid w:val="0"/>
        <w:spacing w:line="560" w:lineRule="exact"/>
        <w:ind w:firstLineChars="200" w:firstLine="643"/>
        <w:rPr>
          <w:b/>
          <w:szCs w:val="24"/>
        </w:rPr>
      </w:pPr>
      <w:r>
        <w:rPr>
          <w:rFonts w:hint="eastAsia"/>
          <w:b/>
          <w:szCs w:val="24"/>
        </w:rPr>
        <w:t>8.</w:t>
      </w:r>
      <w:r>
        <w:rPr>
          <w:rFonts w:hint="eastAsia"/>
          <w:b/>
          <w:szCs w:val="24"/>
        </w:rPr>
        <w:t>对于村务卡内的存款，发卡机构不计付利息。</w:t>
      </w:r>
    </w:p>
    <w:p w14:paraId="75FC39FC" w14:textId="77777777" w:rsidR="00DC6B98" w:rsidRDefault="00643D55">
      <w:pPr>
        <w:adjustRightInd w:val="0"/>
        <w:snapToGrid w:val="0"/>
        <w:spacing w:line="560" w:lineRule="exact"/>
        <w:ind w:firstLineChars="200" w:firstLine="643"/>
        <w:rPr>
          <w:b/>
          <w:szCs w:val="24"/>
        </w:rPr>
      </w:pPr>
      <w:r>
        <w:rPr>
          <w:rFonts w:hint="eastAsia"/>
          <w:b/>
          <w:szCs w:val="24"/>
        </w:rPr>
        <w:t>9.</w:t>
      </w:r>
      <w:r>
        <w:rPr>
          <w:rFonts w:hint="eastAsia"/>
          <w:b/>
          <w:szCs w:val="24"/>
        </w:rPr>
        <w:t>发卡机构对持卡人的还款，按照已出账单、未出账单的顺序偿还；未逾期以及逾期</w:t>
      </w:r>
      <w:r>
        <w:rPr>
          <w:rFonts w:hint="eastAsia"/>
          <w:b/>
          <w:szCs w:val="24"/>
        </w:rPr>
        <w:t>1</w:t>
      </w:r>
      <w:r>
        <w:rPr>
          <w:rFonts w:hint="eastAsia"/>
          <w:b/>
          <w:szCs w:val="24"/>
        </w:rPr>
        <w:t>—</w:t>
      </w:r>
      <w:r>
        <w:rPr>
          <w:rFonts w:hint="eastAsia"/>
          <w:b/>
          <w:szCs w:val="24"/>
        </w:rPr>
        <w:t>90</w:t>
      </w:r>
      <w:r>
        <w:rPr>
          <w:rFonts w:hint="eastAsia"/>
          <w:b/>
          <w:szCs w:val="24"/>
        </w:rPr>
        <w:t>天（含）的，按照应收利息、各项费用、透支转账款、透支消费款的顺序进行冲还；逾期</w:t>
      </w:r>
      <w:r>
        <w:rPr>
          <w:rFonts w:hint="eastAsia"/>
          <w:b/>
          <w:szCs w:val="24"/>
        </w:rPr>
        <w:t>91</w:t>
      </w:r>
      <w:r>
        <w:rPr>
          <w:rFonts w:hint="eastAsia"/>
          <w:b/>
          <w:szCs w:val="24"/>
        </w:rPr>
        <w:t>天（含）以上的，按照透支转账款、透支消费款、各项费用、应收利息的顺序进行冲还。</w:t>
      </w:r>
    </w:p>
    <w:p w14:paraId="75FC39FD" w14:textId="77777777" w:rsidR="00DC6B98" w:rsidRDefault="00643D55">
      <w:pPr>
        <w:adjustRightInd w:val="0"/>
        <w:snapToGrid w:val="0"/>
        <w:spacing w:line="560" w:lineRule="exact"/>
        <w:ind w:firstLineChars="200" w:firstLine="640"/>
        <w:rPr>
          <w:b/>
          <w:szCs w:val="24"/>
        </w:rPr>
      </w:pPr>
      <w:r>
        <w:rPr>
          <w:rFonts w:hint="eastAsia"/>
          <w:szCs w:val="24"/>
        </w:rPr>
        <w:t>10.</w:t>
      </w:r>
      <w:r>
        <w:rPr>
          <w:rFonts w:hint="eastAsia"/>
          <w:szCs w:val="24"/>
        </w:rPr>
        <w:t>若客户选择以其名下在浙江农商银行系统开立的个人结算账户（包括丰收借记卡或存折）自动转账还款，则客户授权发卡机构在到期还款日日终后从该个人结算账户中扣款偿还村务卡该期对账单的全部应还款额或最低还款额（由客户在申请开通本功能时选定）。</w:t>
      </w:r>
      <w:r>
        <w:rPr>
          <w:rFonts w:hint="eastAsia"/>
          <w:b/>
          <w:szCs w:val="24"/>
        </w:rPr>
        <w:t>客户应确保还款账户中有足额资金用于清偿村务卡欠款，如该还款账户在扣款时的可用余额不足，则将余额全部扣减用于还款，其余未还部分不再另行补扣，客户需自行通过其他方式还款至村务卡。如由于还款账户可用余额不足而导致自动扣款失败、未足额还款而产生的相关利息、费用及逾期信用记录等不利后果均由客户承担。</w:t>
      </w:r>
    </w:p>
    <w:p w14:paraId="75FC39FE" w14:textId="77777777" w:rsidR="00DC6B98" w:rsidRDefault="00643D55">
      <w:pPr>
        <w:adjustRightInd w:val="0"/>
        <w:snapToGrid w:val="0"/>
        <w:spacing w:line="560" w:lineRule="exact"/>
        <w:ind w:firstLineChars="200" w:firstLine="640"/>
        <w:rPr>
          <w:bCs/>
          <w:szCs w:val="24"/>
        </w:rPr>
      </w:pPr>
      <w:r>
        <w:rPr>
          <w:bCs/>
          <w:szCs w:val="24"/>
        </w:rPr>
        <w:t>11.</w:t>
      </w:r>
      <w:r>
        <w:rPr>
          <w:rFonts w:hint="eastAsia"/>
          <w:bCs/>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75FC39FF"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第五条</w:t>
      </w:r>
      <w:r>
        <w:rPr>
          <w:rFonts w:hint="eastAsia"/>
          <w:szCs w:val="24"/>
        </w:rPr>
        <w:t xml:space="preserve">  </w:t>
      </w:r>
      <w:r>
        <w:rPr>
          <w:rFonts w:hint="eastAsia"/>
          <w:szCs w:val="24"/>
        </w:rPr>
        <w:t>欠款催收及抵欠</w:t>
      </w:r>
    </w:p>
    <w:p w14:paraId="75FC3A00" w14:textId="77777777"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14:paraId="75FC3A01"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bCs/>
          <w:szCs w:val="32"/>
        </w:rPr>
        <w:t xml:space="preserve"> </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如前述账户币种与欠款的村务卡账户结算币种不一致，以扣款日通过人民币套算的间接汇率折算。</w:t>
      </w:r>
    </w:p>
    <w:p w14:paraId="75FC3A02"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第六条</w:t>
      </w:r>
      <w:r>
        <w:rPr>
          <w:rFonts w:hint="eastAsia"/>
          <w:szCs w:val="24"/>
        </w:rPr>
        <w:t xml:space="preserve">  </w:t>
      </w:r>
      <w:r>
        <w:rPr>
          <w:rFonts w:hint="eastAsia"/>
          <w:szCs w:val="24"/>
        </w:rPr>
        <w:t>有效期</w:t>
      </w:r>
    </w:p>
    <w:p w14:paraId="75FC3A03"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村务卡卡片的有效期最长为</w:t>
      </w:r>
      <w:r>
        <w:rPr>
          <w:rFonts w:hint="eastAsia"/>
          <w:b/>
          <w:szCs w:val="24"/>
        </w:rPr>
        <w:t>5</w:t>
      </w:r>
      <w:r>
        <w:rPr>
          <w:rFonts w:hint="eastAsia"/>
          <w:b/>
          <w:szCs w:val="24"/>
        </w:rPr>
        <w:t>年，具体以村务卡正面印制的有效期为准，过期自动失效，但客户使用村务卡所发生的债权债务关系并不因村务卡到期失效而消灭或改变。</w:t>
      </w:r>
    </w:p>
    <w:p w14:paraId="75FC3A04" w14:textId="77777777"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客户有权办理村务卡销户手续以终止用卡，此时客户应一次性偿还其村务卡所有账款。</w:t>
      </w:r>
      <w:r>
        <w:rPr>
          <w:rFonts w:hint="eastAsia"/>
          <w:b/>
          <w:szCs w:val="24"/>
        </w:rPr>
        <w:t>同时客户仍须承担该卡在销户前后所发生的其应承担的未清偿债务及各种损失。</w:t>
      </w:r>
    </w:p>
    <w:p w14:paraId="75FC3A05" w14:textId="77777777" w:rsidR="00DC6B98" w:rsidRDefault="00643D55">
      <w:pPr>
        <w:adjustRightInd w:val="0"/>
        <w:snapToGrid w:val="0"/>
        <w:spacing w:line="560" w:lineRule="exact"/>
        <w:ind w:firstLineChars="200" w:firstLine="643"/>
        <w:rPr>
          <w:szCs w:val="24"/>
        </w:rPr>
      </w:pPr>
      <w:r>
        <w:rPr>
          <w:rFonts w:hint="eastAsia"/>
          <w:b/>
          <w:szCs w:val="24"/>
        </w:rPr>
        <w:t>3.</w:t>
      </w:r>
      <w:r>
        <w:rPr>
          <w:rFonts w:hint="eastAsia"/>
          <w:b/>
          <w:szCs w:val="24"/>
        </w:rPr>
        <w:t>客户如未在卡片有效期满前两个月书面或电话通知发卡机构要求终止使用此卡，发卡机构视同客户同意到期更换新卡，更换新卡后，本合约继续有效。发卡机构有权决定是否为客户更换新卡。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章程、本合约及其他业务规定对已过期的村务卡继续有效，发卡机构继续保留对已过期村务卡的管理权、追索权等权利。</w:t>
      </w:r>
    </w:p>
    <w:p w14:paraId="75FC3A06"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第七条</w:t>
      </w:r>
      <w:r>
        <w:rPr>
          <w:rFonts w:hint="eastAsia"/>
          <w:szCs w:val="24"/>
        </w:rPr>
        <w:t xml:space="preserve">  </w:t>
      </w:r>
      <w:r>
        <w:rPr>
          <w:rFonts w:hint="eastAsia"/>
          <w:szCs w:val="24"/>
        </w:rPr>
        <w:t>其他</w:t>
      </w:r>
    </w:p>
    <w:p w14:paraId="75FC3A07"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14:paraId="75FC3A08"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客户同意将发卡机构与客户的通话或视频（通过客户服务热线或其他方式）进行录音或录像，并且客户同意将上述电话录音或录像用于发卡机构合理的目的，包括但不限于将其在针对客户或相关的其他人的诉讼及仲裁中用作证据。</w:t>
      </w:r>
    </w:p>
    <w:p w14:paraId="75FC3A09"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75FC3A0A"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szCs w:val="24"/>
        </w:rPr>
        <w:t>。</w:t>
      </w:r>
    </w:p>
    <w:p w14:paraId="75FC3A0B"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如果村务卡不被任何商家、银行、其他金融机构或任何其他人所接受或承认，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14:paraId="75FC3A0C"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客户同意发卡机构有权依据法律法规转让、处置对客户享有的全部或部分债权，并可通过公告或手机短信、信函、邮件或电话等方式通知持卡人债权转让及处置事宜。</w:t>
      </w:r>
    </w:p>
    <w:p w14:paraId="75FC3A0D" w14:textId="77777777" w:rsidR="00DC6B98" w:rsidRDefault="00643D55">
      <w:pPr>
        <w:adjustRightInd w:val="0"/>
        <w:snapToGrid w:val="0"/>
        <w:spacing w:line="560" w:lineRule="exact"/>
        <w:ind w:firstLineChars="200" w:firstLine="643"/>
        <w:rPr>
          <w:b/>
          <w:szCs w:val="24"/>
        </w:rPr>
      </w:pPr>
      <w:r>
        <w:rPr>
          <w:b/>
          <w:szCs w:val="24"/>
        </w:rPr>
        <w:t>7.</w:t>
      </w:r>
      <w:r>
        <w:rPr>
          <w:rFonts w:hint="eastAsia"/>
          <w:b/>
          <w:szCs w:val="24"/>
        </w:rPr>
        <w:t>为了给客户提供相关增值服务，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w:t>
      </w:r>
      <w:r>
        <w:rPr>
          <w:rFonts w:hint="eastAsia"/>
          <w:b/>
          <w:szCs w:val="32"/>
        </w:rPr>
        <w:t>可向发卡机构要求取消授权。</w:t>
      </w:r>
    </w:p>
    <w:p w14:paraId="75FC3A0E" w14:textId="77777777"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发卡机构</w:t>
      </w:r>
      <w:r>
        <w:rPr>
          <w:rFonts w:hint="eastAsia"/>
          <w:szCs w:val="24"/>
        </w:rPr>
        <w:t>24</w:t>
      </w:r>
      <w:r>
        <w:rPr>
          <w:rFonts w:hint="eastAsia"/>
          <w:szCs w:val="24"/>
        </w:rPr>
        <w:t>小时客户服务热线及投诉电话</w:t>
      </w:r>
      <w:r>
        <w:rPr>
          <w:rFonts w:hint="eastAsia"/>
          <w:szCs w:val="24"/>
        </w:rPr>
        <w:t>4008896596</w:t>
      </w:r>
      <w:r>
        <w:rPr>
          <w:rFonts w:hint="eastAsia"/>
          <w:szCs w:val="24"/>
        </w:rPr>
        <w:t>。发卡机构公告方式：手机银行、微信银行、互联网网站（</w:t>
      </w:r>
      <w:r>
        <w:rPr>
          <w:rFonts w:hint="eastAsia"/>
          <w:szCs w:val="24"/>
        </w:rPr>
        <w:t>www.zj96596.com</w:t>
      </w:r>
      <w:r>
        <w:rPr>
          <w:rFonts w:hint="eastAsia"/>
          <w:szCs w:val="24"/>
        </w:rPr>
        <w:t>）或发卡机构网站、营业网点等。</w:t>
      </w:r>
    </w:p>
    <w:p w14:paraId="75FC3A0F"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第八条</w:t>
      </w:r>
      <w:r>
        <w:rPr>
          <w:rFonts w:hint="eastAsia"/>
          <w:szCs w:val="24"/>
        </w:rPr>
        <w:t xml:space="preserve">  </w:t>
      </w:r>
      <w:r>
        <w:rPr>
          <w:rFonts w:hint="eastAsia"/>
          <w:szCs w:val="24"/>
        </w:rPr>
        <w:t>本合约效力及争议解决</w:t>
      </w:r>
    </w:p>
    <w:p w14:paraId="75FC3A10"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本合约自发卡机构批准客户办卡申请之日起生效，至发卡机构正式为客户办理销户的次日终止。</w:t>
      </w:r>
    </w:p>
    <w:p w14:paraId="75FC3A11"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村务卡申请表、章程和收费表是本合约的组成部分。本合约构成对章程的解释和补充，章程修改导致本合约与章程发生冲突时应以章程为准。</w:t>
      </w:r>
    </w:p>
    <w:p w14:paraId="75FC3A12"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本合约由发卡机构负责制定和修改。根据国家政策要求或发卡机构经营管理和风险控制等需要，发卡机构有权对本合约作出修改，包括但不限于对利率、年费、手续费、免息还款等的调整。发卡机构将提前</w:t>
      </w:r>
      <w:r>
        <w:rPr>
          <w:rFonts w:hint="eastAsia"/>
          <w:b/>
          <w:szCs w:val="24"/>
        </w:rPr>
        <w:t>45</w:t>
      </w:r>
      <w:r>
        <w:rPr>
          <w:rFonts w:hint="eastAsia"/>
          <w:b/>
          <w:szCs w:val="24"/>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75FC3A13" w14:textId="77777777" w:rsidR="00DC6B98" w:rsidRDefault="00643D55">
      <w:pPr>
        <w:adjustRightInd w:val="0"/>
        <w:snapToGrid w:val="0"/>
        <w:spacing w:line="560" w:lineRule="exact"/>
        <w:ind w:firstLineChars="200" w:firstLine="640"/>
        <w:rPr>
          <w:szCs w:val="24"/>
        </w:rPr>
      </w:pPr>
      <w:r>
        <w:rPr>
          <w:rFonts w:hint="eastAsia"/>
          <w:szCs w:val="24"/>
        </w:rPr>
        <w:t>4.</w:t>
      </w:r>
      <w:r>
        <w:rPr>
          <w:rFonts w:hint="eastAsia"/>
          <w:szCs w:val="24"/>
        </w:rPr>
        <w:t>本合约适用中华人民共和国法律法规、有关监管部门的规范性文件。</w:t>
      </w:r>
      <w:r>
        <w:rPr>
          <w:rFonts w:hint="eastAsia"/>
          <w:b/>
          <w:szCs w:val="24"/>
        </w:rPr>
        <w:t>未尽事宜依据发卡机构业务规定、用卡指南及金融行业惯例办理。</w:t>
      </w:r>
      <w:r>
        <w:rPr>
          <w:rFonts w:hint="eastAsia"/>
          <w:szCs w:val="24"/>
        </w:rPr>
        <w:t>客户在使用浙江农商银行系统电子银行及银联无卡支付、银联在线支付及其他电子支付（例如支付宝支付、财付通支付等）等业务时，还需遵守该类服务相关规定。</w:t>
      </w:r>
    </w:p>
    <w:p w14:paraId="75FC3A14" w14:textId="77777777" w:rsidR="00DC6B98" w:rsidRDefault="00643D55">
      <w:pPr>
        <w:adjustRightInd w:val="0"/>
        <w:snapToGrid w:val="0"/>
        <w:spacing w:line="560" w:lineRule="exact"/>
        <w:ind w:firstLineChars="200" w:firstLine="643"/>
        <w:rPr>
          <w:b/>
          <w:szCs w:val="24"/>
        </w:rPr>
      </w:pPr>
      <w:r>
        <w:rPr>
          <w:b/>
          <w:szCs w:val="24"/>
        </w:rPr>
        <w:t>5.</w:t>
      </w:r>
      <w:r>
        <w:rPr>
          <w:rFonts w:hint="eastAsia"/>
          <w:b/>
          <w:szCs w:val="24"/>
        </w:rPr>
        <w:t>有关本合约的一切争议，由双方协商解决，不愿协商或协商不成的，由发卡机构所在地人民法院受理。</w:t>
      </w:r>
    </w:p>
    <w:p w14:paraId="75FC3A15" w14:textId="0FD19880" w:rsidR="00DC6B98" w:rsidRDefault="00643D55">
      <w:pPr>
        <w:adjustRightInd w:val="0"/>
        <w:snapToGrid w:val="0"/>
        <w:spacing w:line="560" w:lineRule="exact"/>
        <w:ind w:firstLineChars="200" w:firstLine="643"/>
        <w:rPr>
          <w:b/>
          <w:bCs/>
          <w:szCs w:val="24"/>
        </w:rPr>
      </w:pPr>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B636D7"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r>
        <w:rPr>
          <w:rFonts w:hint="eastAsia"/>
          <w:b/>
          <w:bCs/>
          <w:szCs w:val="24"/>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75FC3A16" w14:textId="77777777" w:rsidR="00DC6B98" w:rsidRDefault="00643D55">
      <w:pPr>
        <w:adjustRightInd w:val="0"/>
        <w:snapToGrid w:val="0"/>
        <w:spacing w:line="560" w:lineRule="exact"/>
        <w:ind w:firstLineChars="200" w:firstLine="643"/>
        <w:rPr>
          <w:b/>
          <w:bCs/>
          <w:szCs w:val="24"/>
        </w:rPr>
      </w:pPr>
      <w:r>
        <w:rPr>
          <w:rFonts w:hint="eastAsia"/>
          <w:b/>
          <w:bCs/>
          <w:szCs w:val="24"/>
        </w:rPr>
        <w:t>客户确认的上述送达方式适用于催收及各个司法阶段，司法阶段包括但不限于一审、二审、再审、执行以及督促程序。</w:t>
      </w:r>
    </w:p>
    <w:p w14:paraId="75FC3A17" w14:textId="77777777" w:rsidR="00DC6B98" w:rsidRDefault="00643D55">
      <w:pPr>
        <w:adjustRightInd w:val="0"/>
        <w:snapToGrid w:val="0"/>
        <w:spacing w:line="560" w:lineRule="exact"/>
        <w:ind w:firstLineChars="200" w:firstLine="643"/>
        <w:rPr>
          <w:b/>
          <w:szCs w:val="24"/>
        </w:rPr>
      </w:pPr>
      <w:r>
        <w:rPr>
          <w:rFonts w:hint="eastAsia"/>
          <w:b/>
          <w:bCs/>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75FC3A18"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第九条</w:t>
      </w:r>
      <w:r>
        <w:rPr>
          <w:rFonts w:hint="eastAsia"/>
          <w:szCs w:val="24"/>
        </w:rPr>
        <w:t xml:space="preserve">  </w:t>
      </w:r>
      <w:r>
        <w:rPr>
          <w:rFonts w:hint="eastAsia"/>
          <w:szCs w:val="24"/>
        </w:rPr>
        <w:t>声明</w:t>
      </w:r>
    </w:p>
    <w:p w14:paraId="75FC3A19"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客户已详尽阅读并完全知晓和承诺遵守章程和本合约，包括其中免除或限制发卡机构责任的条款。</w:t>
      </w:r>
    </w:p>
    <w:p w14:paraId="75FC3A1A"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发卡机构已采取合理的方式提请客户注意关于发卡机构责任免除或限制的条款，并已经按照客户的要求对相关条款进行了解释说明。</w:t>
      </w:r>
    </w:p>
    <w:p w14:paraId="75FC3A1B" w14:textId="77777777" w:rsidR="00DC6B98" w:rsidRDefault="00DC6B98">
      <w:pPr>
        <w:spacing w:line="560" w:lineRule="exact"/>
      </w:pPr>
    </w:p>
    <w:p w14:paraId="75FC3A1C" w14:textId="77777777" w:rsidR="00DC6B98" w:rsidRDefault="00DC6B98" w:rsidP="00D31CD0">
      <w:pPr>
        <w:spacing w:line="560" w:lineRule="exact"/>
      </w:pPr>
    </w:p>
    <w:p w14:paraId="75FC3A1D" w14:textId="77777777" w:rsidR="00DC6B98" w:rsidRDefault="00DC6B98" w:rsidP="00D31CD0">
      <w:pPr>
        <w:spacing w:line="560" w:lineRule="exact"/>
      </w:pPr>
    </w:p>
    <w:sectPr w:rsidR="00DC6B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B8E40" w14:textId="77777777" w:rsidR="000A3C28" w:rsidRDefault="000A3C28">
      <w:r>
        <w:separator/>
      </w:r>
    </w:p>
  </w:endnote>
  <w:endnote w:type="continuationSeparator" w:id="0">
    <w:p w14:paraId="6F580702" w14:textId="77777777" w:rsidR="000A3C28" w:rsidRDefault="000A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3A22" w14:textId="77777777" w:rsidR="00DC6B98" w:rsidRDefault="00643D55">
    <w:pPr>
      <w:pStyle w:val="a7"/>
      <w:jc w:val="center"/>
    </w:pPr>
    <w:r>
      <w:fldChar w:fldCharType="begin"/>
    </w:r>
    <w:r>
      <w:instrText xml:space="preserve"> PAGE   \* MERGEFORMAT </w:instrText>
    </w:r>
    <w:r>
      <w:fldChar w:fldCharType="separate"/>
    </w:r>
    <w:r w:rsidR="00D31CD0" w:rsidRPr="00D31CD0">
      <w:rPr>
        <w:noProof/>
        <w:lang w:val="zh-CN"/>
      </w:rPr>
      <w:t>3</w:t>
    </w:r>
    <w:r>
      <w:rPr>
        <w:lang w:val="zh-CN"/>
      </w:rPr>
      <w:fldChar w:fldCharType="end"/>
    </w:r>
  </w:p>
  <w:p w14:paraId="75FC3A23" w14:textId="77777777" w:rsidR="00DC6B98" w:rsidRDefault="00DC6B9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E7D21" w14:textId="77777777" w:rsidR="000A3C28" w:rsidRDefault="000A3C28">
      <w:r>
        <w:separator/>
      </w:r>
    </w:p>
  </w:footnote>
  <w:footnote w:type="continuationSeparator" w:id="0">
    <w:p w14:paraId="49C38223" w14:textId="77777777" w:rsidR="000A3C28" w:rsidRDefault="000A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䀂ºᴀ!㣞标题 2␅؁Ĥ搒ƠꐓĄꐔĄ♀࠵侁僿凿峿脈䩞￳䩡 &quot;␃ԃĤ␆ሁꁤāጀҤᐁҤ㄁$♀愁̤6࠵䎁⁊䬀Ɉ伀僿凿峿脈䩞￳䡟Ё䩡 䡭Љ䡮ࠄ䡳Љ䡴ࠄuāƠĄĄāāऀĀś者 ￲￱￲￳＀dЉࠄЁ＀＀＀＀  _x000a__x000a_(_x000a_%ÿ呄jæ魛Õ緭1ꖥ¥샿牄Ä군G挅Á侕rÿæ呄j杭͘㊀݌᥸͘㌠݌ᩨ͘뜘̧£預ه钰هૈൟૠൟ଀ൟ͘㼀൩Ꮀ͘䂠൩ዀ͘䅀൩ᧀ͘䇠൩ᯐ͘䊀൩ᓈ͘䌠"/>
  </w:docVars>
  <w:rsids>
    <w:rsidRoot w:val="1ADE65D8"/>
    <w:rsid w:val="00052BAB"/>
    <w:rsid w:val="000623C8"/>
    <w:rsid w:val="000A3C28"/>
    <w:rsid w:val="000D577B"/>
    <w:rsid w:val="001215B0"/>
    <w:rsid w:val="00133452"/>
    <w:rsid w:val="00157AB0"/>
    <w:rsid w:val="0018069C"/>
    <w:rsid w:val="00187301"/>
    <w:rsid w:val="001E54B3"/>
    <w:rsid w:val="003109A1"/>
    <w:rsid w:val="00455A55"/>
    <w:rsid w:val="004D3DE2"/>
    <w:rsid w:val="004D63DD"/>
    <w:rsid w:val="00562F54"/>
    <w:rsid w:val="005958EB"/>
    <w:rsid w:val="005D78BB"/>
    <w:rsid w:val="00643D55"/>
    <w:rsid w:val="00721FE5"/>
    <w:rsid w:val="0075796E"/>
    <w:rsid w:val="00760BAD"/>
    <w:rsid w:val="00770410"/>
    <w:rsid w:val="007833E1"/>
    <w:rsid w:val="00797F02"/>
    <w:rsid w:val="008D1081"/>
    <w:rsid w:val="00962FCB"/>
    <w:rsid w:val="00976350"/>
    <w:rsid w:val="009B38DE"/>
    <w:rsid w:val="009C7E6D"/>
    <w:rsid w:val="009D1C66"/>
    <w:rsid w:val="00A025F4"/>
    <w:rsid w:val="00A62C6A"/>
    <w:rsid w:val="00A84F35"/>
    <w:rsid w:val="00AF6A0C"/>
    <w:rsid w:val="00B240CA"/>
    <w:rsid w:val="00B636D7"/>
    <w:rsid w:val="00B65ADB"/>
    <w:rsid w:val="00B716B3"/>
    <w:rsid w:val="00BB3354"/>
    <w:rsid w:val="00C02BBB"/>
    <w:rsid w:val="00C2030A"/>
    <w:rsid w:val="00C442F9"/>
    <w:rsid w:val="00C544BE"/>
    <w:rsid w:val="00D31CD0"/>
    <w:rsid w:val="00D32581"/>
    <w:rsid w:val="00D560D7"/>
    <w:rsid w:val="00D6266A"/>
    <w:rsid w:val="00D85B86"/>
    <w:rsid w:val="00DA5C1D"/>
    <w:rsid w:val="00DC6B98"/>
    <w:rsid w:val="00DF62FA"/>
    <w:rsid w:val="00E5002F"/>
    <w:rsid w:val="00E60898"/>
    <w:rsid w:val="00EB2CE5"/>
    <w:rsid w:val="00EB3790"/>
    <w:rsid w:val="00EE1A01"/>
    <w:rsid w:val="00F23D1B"/>
    <w:rsid w:val="00FA02A3"/>
    <w:rsid w:val="00FA0F72"/>
    <w:rsid w:val="00FD1640"/>
    <w:rsid w:val="032F4460"/>
    <w:rsid w:val="087904F5"/>
    <w:rsid w:val="0A95617C"/>
    <w:rsid w:val="0BB73D7F"/>
    <w:rsid w:val="1A5F2428"/>
    <w:rsid w:val="1ADE65D8"/>
    <w:rsid w:val="317A2D52"/>
    <w:rsid w:val="3239017C"/>
    <w:rsid w:val="38BD16EF"/>
    <w:rsid w:val="39CB0172"/>
    <w:rsid w:val="44C50CF0"/>
    <w:rsid w:val="4AED3F64"/>
    <w:rsid w:val="4BB94165"/>
    <w:rsid w:val="53782134"/>
    <w:rsid w:val="5B9F74F7"/>
    <w:rsid w:val="5BC76689"/>
    <w:rsid w:val="637234A9"/>
    <w:rsid w:val="64C818E4"/>
    <w:rsid w:val="709B579B"/>
    <w:rsid w:val="70E003C0"/>
    <w:rsid w:val="71C8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C39D1"/>
  <w15:docId w15:val="{F464B113-FE15-4609-B347-682CFD05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rFonts w:ascii="Calibri" w:eastAsia="宋体" w:hAnsi="Calibri"/>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jc w:val="left"/>
    </w:pPr>
    <w:rPr>
      <w:rFonts w:ascii="Calibri" w:eastAsia="宋体" w:hAnsi="Calibri"/>
      <w:kern w:val="0"/>
      <w:sz w:val="24"/>
      <w:szCs w:val="24"/>
    </w:rPr>
  </w:style>
  <w:style w:type="paragraph" w:styleId="ab">
    <w:name w:val="annotation subject"/>
    <w:basedOn w:val="a3"/>
    <w:next w:val="a3"/>
    <w:link w:val="ac"/>
    <w:qFormat/>
    <w:rPr>
      <w:b/>
      <w:bCs/>
    </w:rPr>
  </w:style>
  <w:style w:type="character" w:styleId="ad">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a9">
    <w:name w:val="页眉 字符"/>
    <w:basedOn w:val="a0"/>
    <w:link w:val="a8"/>
    <w:qFormat/>
    <w:rPr>
      <w:rFonts w:ascii="Times New Roman" w:eastAsia="仿宋_GB2312" w:hAnsi="Times New Roman" w:cs="Times New Roman"/>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a6">
    <w:name w:val="批注框文本 字符"/>
    <w:basedOn w:val="a0"/>
    <w:link w:val="a5"/>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Pr>
      <w:rFonts w:ascii="Times New Roman" w:eastAsia="仿宋_GB2312" w:hAnsi="Times New Roman" w:cs="Times New Roman"/>
      <w:kern w:val="2"/>
      <w:sz w:val="32"/>
    </w:rPr>
  </w:style>
  <w:style w:type="character" w:customStyle="1" w:styleId="ac">
    <w:name w:val="批注主题 字符"/>
    <w:basedOn w:val="a4"/>
    <w:link w:val="ab"/>
    <w:qFormat/>
    <w:rPr>
      <w:rFonts w:ascii="Times New Roman" w:eastAsia="仿宋_GB2312" w:hAnsi="Times New Roman" w:cs="Times New Roman"/>
      <w:b/>
      <w:bCs/>
      <w:kern w:val="2"/>
      <w:sz w:val="32"/>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e">
    <w:name w:val="Revision"/>
    <w:hidden/>
    <w:uiPriority w:val="99"/>
    <w:semiHidden/>
    <w:rsid w:val="00B636D7"/>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B0EBA-C235-473C-9B91-A54C39C8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DRCB</cp:lastModifiedBy>
  <cp:revision>28</cp:revision>
  <dcterms:created xsi:type="dcterms:W3CDTF">2022-09-30T02:31:00Z</dcterms:created>
  <dcterms:modified xsi:type="dcterms:W3CDTF">2023-12-18T07:12:00Z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DB2A2302ACBC4F72B3376D82282DD044</vt:lpwstr>
  </property>
  <property fmtid="{D5CDD505-2E9C-101B-9397-08002B2CF9AE}" pid="4" name="KSOSaveFontToCloudKey">
    <vt:lpwstr>739922054_btnclosed</vt:lpwstr>
  </property>
</Properties>
</file>