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德清农商银行丰收喜悦月月赢2号28天定期开放式净值型理财产品</w:t>
      </w:r>
    </w:p>
    <w:p>
      <w:pPr>
        <w:jc w:val="center"/>
        <w:rPr>
          <w:rFonts w:ascii="宋体" w:hAnsi="宋体"/>
          <w:b/>
          <w:bCs/>
          <w:sz w:val="48"/>
          <w:szCs w:val="30"/>
        </w:rPr>
      </w:pPr>
      <w:r>
        <w:rPr>
          <w:rFonts w:ascii="宋体" w:hAnsi="宋体"/>
          <w:b/>
          <w:bCs/>
          <w:sz w:val="48"/>
          <w:szCs w:val="30"/>
        </w:rPr>
        <w:t>2022年年度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自2022-01-19起至2022-12-31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浙江德清农村商业银行股份有限公司“丰收喜悦”月月赢2号28天定期开放式净值型理财产品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2031-10-14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24,140,000.00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w:t>
            </w:r>
            <w:r>
              <w:rPr>
                <w:rFonts w:hint="eastAsia" w:ascii="宋体" w:hAnsi="宋体"/>
                <w:lang w:val="en-US" w:eastAsia="zh-CN"/>
              </w:rPr>
              <w:t>1.8</w:t>
            </w:r>
            <w:r>
              <w:rPr>
                <w:rFonts w:ascii="宋体" w:hAnsi="宋体"/>
              </w:rPr>
              <w:t>%-3.</w:t>
            </w:r>
            <w:r>
              <w:rPr>
                <w:rFonts w:hint="eastAsia" w:ascii="宋体" w:hAnsi="宋体"/>
                <w:lang w:val="en-US" w:eastAsia="zh-CN"/>
              </w:rPr>
              <w:t>0</w:t>
            </w:r>
            <w:r>
              <w:rPr>
                <w:rFonts w:ascii="宋体" w:hAnsi="宋体"/>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eastAsia="宋体"/>
                <w:szCs w:val="21"/>
                <w:lang w:eastAsia="zh-CN"/>
              </w:rPr>
            </w:pPr>
            <w:r>
              <w:rPr>
                <w:rFonts w:hint="eastAsia" w:ascii="宋体" w:hAnsi="宋体"/>
                <w:szCs w:val="21"/>
                <w:lang w:eastAsia="zh-CN"/>
              </w:rPr>
              <w:t>杠杆水平</w:t>
            </w:r>
          </w:p>
        </w:tc>
        <w:tc>
          <w:tcPr>
            <w:tcW w:w="5027" w:type="dxa"/>
            <w:vAlign w:val="center"/>
          </w:tcPr>
          <w:p>
            <w:pPr>
              <w:jc w:val="left"/>
              <w:rPr>
                <w:rFonts w:ascii="宋体" w:hAnsi="宋体"/>
              </w:rPr>
            </w:pPr>
            <w:r>
              <w:rPr>
                <w:rFonts w:hint="eastAsia"/>
                <w:lang w:val="en-US" w:eastAsia="zh-CN"/>
              </w:rPr>
              <w:t>100.10%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eastAsia="zh-CN"/>
              </w:rPr>
            </w:pPr>
            <w:r>
              <w:rPr>
                <w:rFonts w:hint="eastAsia" w:ascii="宋体" w:hAnsi="宋体"/>
                <w:szCs w:val="21"/>
                <w:lang w:eastAsia="zh-CN"/>
              </w:rPr>
              <w:t>风险等级</w:t>
            </w:r>
          </w:p>
        </w:tc>
        <w:tc>
          <w:tcPr>
            <w:tcW w:w="5027" w:type="dxa"/>
            <w:vAlign w:val="center"/>
          </w:tcPr>
          <w:p>
            <w:pPr>
              <w:jc w:val="left"/>
              <w:rPr>
                <w:rFonts w:hint="eastAsia"/>
                <w:lang w:val="en-US" w:eastAsia="zh-CN"/>
              </w:rPr>
            </w:pPr>
            <w:r>
              <w:rPr>
                <w:rFonts w:hint="eastAsia"/>
                <w:lang w:val="en-US"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eastAsia="zh-CN"/>
              </w:rPr>
            </w:pPr>
            <w:r>
              <w:rPr>
                <w:rFonts w:hint="eastAsia" w:ascii="宋体" w:hAnsi="宋体"/>
                <w:szCs w:val="21"/>
                <w:lang w:eastAsia="zh-CN"/>
              </w:rPr>
              <w:t>产品投资性质</w:t>
            </w:r>
          </w:p>
        </w:tc>
        <w:tc>
          <w:tcPr>
            <w:tcW w:w="5027" w:type="dxa"/>
            <w:vAlign w:val="center"/>
          </w:tcPr>
          <w:p>
            <w:pPr>
              <w:jc w:val="left"/>
              <w:rPr>
                <w:rFonts w:hint="eastAsia"/>
                <w:lang w:val="en-US" w:eastAsia="zh-CN"/>
              </w:rPr>
            </w:pPr>
            <w:r>
              <w:rPr>
                <w:rFonts w:hint="eastAsia"/>
                <w:lang w:val="en-US"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2022-01-19</w:t>
            </w:r>
            <w:r>
              <w:rPr>
                <w:rFonts w:hint="eastAsia" w:ascii="宋体" w:hAnsi="宋体"/>
              </w:rPr>
              <w:t>至</w:t>
            </w:r>
            <w:r>
              <w:rPr>
                <w:rFonts w:ascii="宋体" w:hAnsi="宋体"/>
              </w:rPr>
              <w:t>2022-12-31</w:t>
            </w:r>
            <w:r>
              <w:rPr>
                <w:rFonts w:hint="eastAsia" w:ascii="宋体" w:hAnsi="宋体"/>
              </w:rPr>
              <w:t>）</w:t>
            </w:r>
          </w:p>
        </w:tc>
        <w:tc>
          <w:tcPr>
            <w:tcW w:w="5103" w:type="dxa"/>
            <w:vAlign w:val="center"/>
          </w:tcPr>
          <w:p>
            <w:pPr>
              <w:jc w:val="right"/>
            </w:pPr>
            <w: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3.20</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2022-01-19</w:t>
            </w:r>
            <w:r>
              <w:rPr>
                <w:rFonts w:hint="eastAsia"/>
                <w:b/>
              </w:rPr>
              <w:t xml:space="preserve">至 </w:t>
            </w:r>
            <w:r>
              <w:rPr>
                <w:b/>
              </w:rPr>
              <w:t>2022-12-31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445</w:t>
            </w:r>
            <w:r>
              <w:rPr>
                <w:rFonts w:hint="eastAsia"/>
              </w:rPr>
              <w:t>,</w:t>
            </w:r>
            <w:r>
              <w:t>557.17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476,939.17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24,167,933.71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1.0011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6,458,896.71</w:t>
            </w:r>
          </w:p>
        </w:tc>
        <w:tc>
          <w:tcPr>
            <w:tcW w:w="1705" w:type="dxa"/>
            <w:vAlign w:val="center"/>
          </w:tcPr>
          <w:p>
            <w:pPr>
              <w:jc w:val="right"/>
            </w:pPr>
            <w:r>
              <w:t>26.72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6,207,042.61</w:t>
            </w:r>
          </w:p>
        </w:tc>
        <w:tc>
          <w:tcPr>
            <w:tcW w:w="1705" w:type="dxa"/>
            <w:vAlign w:val="center"/>
          </w:tcPr>
          <w:p>
            <w:pPr>
              <w:jc w:val="right"/>
            </w:pPr>
            <w:r>
              <w:t>25.68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6,207,042.61</w:t>
            </w:r>
          </w:p>
        </w:tc>
        <w:tc>
          <w:tcPr>
            <w:tcW w:w="1705" w:type="dxa"/>
            <w:vAlign w:val="center"/>
          </w:tcPr>
          <w:p>
            <w:pPr>
              <w:jc w:val="right"/>
            </w:pPr>
            <w:r>
              <w:t>25.68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9,545,688.76</w:t>
            </w:r>
          </w:p>
        </w:tc>
        <w:tc>
          <w:tcPr>
            <w:tcW w:w="1705" w:type="dxa"/>
            <w:vAlign w:val="center"/>
          </w:tcPr>
          <w:p>
            <w:pPr>
              <w:jc w:val="right"/>
            </w:pPr>
            <w:r>
              <w:t>39.49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869,015.62</w:t>
            </w:r>
          </w:p>
        </w:tc>
        <w:tc>
          <w:tcPr>
            <w:tcW w:w="1705" w:type="dxa"/>
            <w:vAlign w:val="center"/>
          </w:tcPr>
          <w:p>
            <w:pPr>
              <w:jc w:val="right"/>
            </w:pPr>
            <w: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24,171,382.00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1,114,091.55</w:t>
            </w:r>
          </w:p>
        </w:tc>
        <w:tc>
          <w:tcPr>
            <w:tcW w:w="1705" w:type="dxa"/>
            <w:vAlign w:val="center"/>
          </w:tcPr>
          <w:p>
            <w:pPr>
              <w:jc w:val="right"/>
            </w:pPr>
            <w:r>
              <w:t>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24,171,382.00</w:t>
            </w:r>
          </w:p>
        </w:tc>
        <w:tc>
          <w:tcPr>
            <w:tcW w:w="1749" w:type="dxa"/>
            <w:shd w:val="clear" w:color="auto" w:fill="auto"/>
          </w:tcPr>
          <w:p>
            <w:pPr>
              <w:jc w:val="right"/>
            </w:pPr>
            <w:r>
              <w:t>100.00</w:t>
            </w:r>
          </w:p>
        </w:tc>
        <w:tc>
          <w:tcPr>
            <w:tcW w:w="1653" w:type="dxa"/>
          </w:tcPr>
          <w:p>
            <w:pPr>
              <w:jc w:val="right"/>
            </w:pPr>
            <w:r>
              <w:t>24,194,735.24</w:t>
            </w:r>
          </w:p>
        </w:tc>
        <w:tc>
          <w:tcPr>
            <w:tcW w:w="1705" w:type="dxa"/>
          </w:tcPr>
          <w:p>
            <w:pPr>
              <w:jc w:val="right"/>
            </w:pPr>
            <w:r>
              <w:t>100.10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eastAsia="宋体"/>
          <w:sz w:val="24"/>
          <w:lang w:eastAsia="zh-CN"/>
        </w:rPr>
      </w:pPr>
      <w:r>
        <w:rPr>
          <w:rFonts w:hint="eastAsia" w:ascii="宋体" w:hAnsi="宋体"/>
          <w:sz w:val="24"/>
          <w:lang w:eastAsia="zh-CN"/>
        </w:rPr>
        <w:t>报告期内，本产品未发生重大流动性风险事件。</w:t>
      </w: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财通证券资管月月赢2号集合资产管理计划</w:t>
            </w:r>
          </w:p>
        </w:tc>
        <w:tc>
          <w:tcPr>
            <w:tcW w:w="2693" w:type="dxa"/>
            <w:shd w:val="clear" w:color="auto" w:fill="auto"/>
            <w:vAlign w:val="center"/>
          </w:tcPr>
          <w:p>
            <w:pPr>
              <w:jc w:val="right"/>
            </w:pPr>
            <w:r>
              <w:t>24,171,382.00</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777"/>
        <w:gridCol w:w="3159"/>
        <w:gridCol w:w="2693"/>
        <w:gridCol w:w="2431"/>
      </w:tblGrid>
      <w:tr>
        <w:tblPrEx>
          <w:tblLayout w:type="fixed"/>
          <w:tblCellMar>
            <w:top w:w="0" w:type="dxa"/>
            <w:left w:w="0" w:type="dxa"/>
            <w:bottom w:w="0" w:type="dxa"/>
            <w:right w:w="0" w:type="dxa"/>
          </w:tblCellMar>
        </w:tblPrEx>
        <w:trPr>
          <w:trHeight w:val="744" w:hRule="atLeast"/>
          <w:jc w:val="center"/>
        </w:trPr>
        <w:tc>
          <w:tcPr>
            <w:tcW w:w="77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3159"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693"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43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银行间质押式回购</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3,461,147.96</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14.32</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中信建投凤凰B</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2,394,084.39</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9.91</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财通资管鑫管家B</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2,393,990.83</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9.91</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20如皋02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1,163,829.10</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4.82</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财通资管鸿运中短债E</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1,113,947.83</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4.61</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债券质押协议回购2806</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1,057,841.42</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4.38</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22国债09</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648,158.15</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2.68</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20赣港01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586,732.61</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2.43</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20新业01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577,611.36</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2.39</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财通资管鸿福短债A</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556,873.66</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2.30</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bookmarkStart w:id="5" w:name="_GoBack"/>
      <w:bookmarkEnd w:id="5"/>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w:t>
      </w:r>
      <w:r>
        <w:rPr>
          <w:rFonts w:hint="eastAsia" w:ascii="宋体" w:hAnsi="宋体"/>
          <w:sz w:val="28"/>
          <w:szCs w:val="28"/>
          <w:lang w:val="en-US" w:eastAsia="zh-CN"/>
        </w:rPr>
        <w:t>2</w:t>
      </w:r>
      <w:r>
        <w:rPr>
          <w:rFonts w:ascii="宋体" w:hAnsi="宋体"/>
          <w:sz w:val="28"/>
          <w:szCs w:val="28"/>
        </w:rPr>
        <w:t>-</w:t>
      </w:r>
      <w:r>
        <w:rPr>
          <w:rFonts w:hint="eastAsia" w:ascii="宋体" w:hAnsi="宋体"/>
          <w:sz w:val="28"/>
          <w:szCs w:val="28"/>
          <w:lang w:val="en-US" w:eastAsia="zh-CN"/>
        </w:rPr>
        <w:t>28</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2F69"/>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215"/>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E08"/>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3A046A7F"/>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DD2A02-6CB7-40BA-952F-0806B520591E}">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332</Words>
  <Characters>1894</Characters>
  <Lines>15</Lines>
  <Paragraphs>4</Paragraphs>
  <TotalTime>10</TotalTime>
  <ScaleCrop>false</ScaleCrop>
  <LinksUpToDate>false</LinksUpToDate>
  <CharactersWithSpaces>2222</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2023-02-27T02:53:13Z</dcterms:modified>
  <dc:title>gongGaoMingCheng</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