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德清农商银行丰收信福2022年第34期封闭净值型人民币理财产品</w:t>
      </w:r>
    </w:p>
    <w:p>
      <w:pPr>
        <w:jc w:val="center"/>
        <w:rPr>
          <w:rFonts w:ascii="宋体" w:hAnsi="宋体"/>
          <w:b/>
          <w:bCs/>
          <w:sz w:val="48"/>
          <w:szCs w:val="30"/>
        </w:rPr>
      </w:pPr>
      <w:r>
        <w:rPr>
          <w:rFonts w:ascii="宋体" w:hAnsi="宋体"/>
          <w:b/>
          <w:bCs/>
          <w:sz w:val="48"/>
          <w:szCs w:val="30"/>
        </w:rPr>
        <w:t>2022年年度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自2022-05-05起至2022-12-31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34</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8,110,000.00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[3.75%-3.95%]/年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t>117.84</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2022-05-05</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0.07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2022-05-05</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-809.02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5,707.65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8,115,707.65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1.0007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9,479,490.03</w:t>
            </w:r>
          </w:p>
        </w:tc>
        <w:tc>
          <w:tcPr>
            <w:tcW w:w="1705" w:type="dxa"/>
            <w:vAlign w:val="center"/>
          </w:tcPr>
          <w:p>
            <w:pPr>
              <w:jc w:val="right"/>
            </w:pPr>
            <w:r>
              <w:t>116.79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9,479,490.03</w:t>
            </w:r>
          </w:p>
        </w:tc>
        <w:tc>
          <w:tcPr>
            <w:tcW w:w="1705" w:type="dxa"/>
            <w:vAlign w:val="center"/>
          </w:tcPr>
          <w:p>
            <w:pPr>
              <w:jc w:val="right"/>
            </w:pPr>
            <w:r>
              <w:t>116.79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85,224.66</w:t>
            </w:r>
          </w:p>
        </w:tc>
        <w:tc>
          <w:tcPr>
            <w:tcW w:w="1705" w:type="dxa"/>
            <w:vAlign w:val="center"/>
          </w:tcPr>
          <w:p>
            <w:pPr>
              <w:jc w:val="right"/>
            </w:pPr>
            <w: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8,116,516.67</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132.84</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8,116,516.67</w:t>
            </w:r>
          </w:p>
        </w:tc>
        <w:tc>
          <w:tcPr>
            <w:tcW w:w="1749" w:type="dxa"/>
            <w:shd w:val="clear" w:color="auto" w:fill="auto"/>
          </w:tcPr>
          <w:p>
            <w:pPr>
              <w:jc w:val="right"/>
            </w:pPr>
            <w:r>
              <w:t>100.00</w:t>
            </w:r>
          </w:p>
        </w:tc>
        <w:tc>
          <w:tcPr>
            <w:tcW w:w="1653" w:type="dxa"/>
          </w:tcPr>
          <w:p>
            <w:pPr>
              <w:jc w:val="right"/>
            </w:pPr>
            <w:r>
              <w:t>9,564,847.52</w:t>
            </w:r>
          </w:p>
        </w:tc>
        <w:tc>
          <w:tcPr>
            <w:tcW w:w="1705" w:type="dxa"/>
          </w:tcPr>
          <w:p>
            <w:pPr>
              <w:jc w:val="right"/>
            </w:pPr>
            <w:r>
              <w:t>117.84</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bookmarkStart w:id="5" w:name="_GoBack"/>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lang w:eastAsia="zh-CN"/>
        </w:rPr>
        <w:t>报告期内，本产品未发生重大流动性风险事件。</w:t>
      </w:r>
    </w:p>
    <w:bookmarkEnd w:id="5"/>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中信证券丰收信益7号集合资产管理计划</w:t>
            </w:r>
          </w:p>
        </w:tc>
        <w:tc>
          <w:tcPr>
            <w:tcW w:w="2693" w:type="dxa"/>
            <w:shd w:val="clear" w:color="auto" w:fill="auto"/>
            <w:vAlign w:val="center"/>
          </w:tcPr>
          <w:p>
            <w:pPr>
              <w:jc w:val="right"/>
            </w:pPr>
            <w:r>
              <w:t>8,116,516.67</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393,945.63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22即墨01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389,417.41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22海安建投PPN001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306,773.53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21嵊州城投PPN001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305,294.65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304,344.04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22铁投Y2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299,016.22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22湖交投SCP001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298,404.95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20新华人寿</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297,395.00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22天生南通PPN001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297,059.53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22华泰12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296,281.62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3.65</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w:t>
      </w:r>
      <w:r>
        <w:rPr>
          <w:rFonts w:hint="eastAsia" w:ascii="宋体" w:hAnsi="宋体"/>
          <w:sz w:val="28"/>
          <w:szCs w:val="28"/>
          <w:lang w:val="en-US" w:eastAsia="zh-CN"/>
        </w:rPr>
        <w:t>2</w:t>
      </w:r>
      <w:r>
        <w:rPr>
          <w:rFonts w:ascii="宋体" w:hAnsi="宋体"/>
          <w:sz w:val="28"/>
          <w:szCs w:val="28"/>
        </w:rPr>
        <w:t>-</w:t>
      </w:r>
      <w:r>
        <w:rPr>
          <w:rFonts w:hint="eastAsia" w:ascii="宋体" w:hAnsi="宋体"/>
          <w:sz w:val="28"/>
          <w:szCs w:val="28"/>
          <w:lang w:val="en-US" w:eastAsia="zh-CN"/>
        </w:rPr>
        <w:t>28</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4BB704E3"/>
    <w:rsid w:val="5C25606B"/>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3</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2023-02-27T03:34:42Z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