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德清农商银行丰收信福2022年第32期封闭净值型人民币理财产品</w:t>
      </w:r>
    </w:p>
    <w:p>
      <w:pPr>
        <w:jc w:val="center"/>
        <w:rPr>
          <w:rFonts w:ascii="宋体" w:hAnsi="宋体"/>
          <w:b/>
          <w:bCs/>
          <w:sz w:val="48"/>
          <w:szCs w:val="30"/>
        </w:rPr>
      </w:pPr>
      <w:r>
        <w:rPr>
          <w:rFonts w:ascii="宋体" w:hAnsi="宋体"/>
          <w:b/>
          <w:bCs/>
          <w:sz w:val="48"/>
          <w:szCs w:val="30"/>
        </w:rPr>
        <w:t>2022年年度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自2022-04-25起至2022-12-31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32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14,630,000.00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[3.96%-4.06%]/年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t>128.86</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2022-04-25</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1.01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2022-04-25</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-1,530.41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149,017.19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14,779,017.19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1.0101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150,889.77</w:t>
            </w:r>
          </w:p>
        </w:tc>
        <w:tc>
          <w:tcPr>
            <w:tcW w:w="1705" w:type="dxa"/>
            <w:vAlign w:val="center"/>
          </w:tcPr>
          <w:p>
            <w:pPr>
              <w:jc w:val="right"/>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17,730,741.35</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17,730,741.35</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162,447.91</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14,780,547.60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1,002,733.78</w:t>
            </w:r>
          </w:p>
        </w:tc>
        <w:tc>
          <w:tcPr>
            <w:tcW w:w="1705" w:type="dxa"/>
            <w:vAlign w:val="center"/>
          </w:tcPr>
          <w:p>
            <w:pPr>
              <w:jc w:val="right"/>
            </w:pPr>
            <w:r>
              <w:t>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14,780,547.60</w:t>
            </w:r>
          </w:p>
        </w:tc>
        <w:tc>
          <w:tcPr>
            <w:tcW w:w="1749" w:type="dxa"/>
            <w:shd w:val="clear" w:color="auto" w:fill="auto"/>
          </w:tcPr>
          <w:p>
            <w:pPr>
              <w:jc w:val="right"/>
            </w:pPr>
            <w:r>
              <w:t>100.00</w:t>
            </w:r>
          </w:p>
        </w:tc>
        <w:tc>
          <w:tcPr>
            <w:tcW w:w="1653" w:type="dxa"/>
          </w:tcPr>
          <w:p>
            <w:pPr>
              <w:jc w:val="right"/>
            </w:pPr>
            <w:r>
              <w:t>19,046,812.81</w:t>
            </w:r>
          </w:p>
        </w:tc>
        <w:tc>
          <w:tcPr>
            <w:tcW w:w="1705" w:type="dxa"/>
          </w:tcPr>
          <w:p>
            <w:pPr>
              <w:jc w:val="right"/>
            </w:pPr>
            <w:r>
              <w:t>128.86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sz w:val="24"/>
        </w:rPr>
      </w:pPr>
      <w:r>
        <w:rPr>
          <w:rFonts w:hint="eastAsia" w:asciiTheme="minorEastAsia" w:hAnsiTheme="minorEastAsia" w:eastAsiaTheme="minorEastAsia"/>
          <w:szCs w:val="21"/>
          <w:lang w:eastAsia="zh-CN"/>
        </w:rPr>
        <w:t>报告期内，本产品未发生重大流动性风险事件。</w:t>
      </w: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中信证券星云17号集合资产管理计划</w:t>
            </w:r>
          </w:p>
        </w:tc>
        <w:tc>
          <w:tcPr>
            <w:tcW w:w="2693" w:type="dxa"/>
            <w:shd w:val="clear" w:color="auto" w:fill="auto"/>
            <w:vAlign w:val="center"/>
          </w:tcPr>
          <w:p>
            <w:pPr>
              <w:jc w:val="right"/>
            </w:pPr>
            <w:r>
              <w:t>14,780,547.60</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490,072.23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葛洲YK02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486,047.80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443,199.80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22建银03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351,843.34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302,060.31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291,872.15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22浙资01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256,482.19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255,860.85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22兴杭01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255,212.79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255,071.96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w:t>
      </w:r>
      <w:r>
        <w:rPr>
          <w:rFonts w:hint="eastAsia" w:ascii="宋体" w:hAnsi="宋体"/>
          <w:sz w:val="28"/>
          <w:szCs w:val="28"/>
          <w:lang w:val="en-US" w:eastAsia="zh-CN"/>
        </w:rPr>
        <w:t>2</w:t>
      </w:r>
      <w:r>
        <w:rPr>
          <w:rFonts w:ascii="宋体" w:hAnsi="宋体"/>
          <w:sz w:val="28"/>
          <w:szCs w:val="28"/>
        </w:rPr>
        <w:t>-</w:t>
      </w:r>
      <w:r>
        <w:rPr>
          <w:rFonts w:hint="eastAsia" w:ascii="宋体" w:hAnsi="宋体"/>
          <w:sz w:val="28"/>
          <w:szCs w:val="28"/>
          <w:lang w:val="en-US" w:eastAsia="zh-CN"/>
        </w:rPr>
        <w:t>28</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765958DB"/>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2023-02-27T03:16:45Z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