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德清农商银行丰收信福2022年第28期封闭净值型人民币理财产品</w:t>
      </w:r>
    </w:p>
    <w:p>
      <w:pPr>
        <w:jc w:val="center"/>
        <w:rPr>
          <w:rFonts w:ascii="宋体" w:hAnsi="宋体"/>
          <w:b/>
          <w:bCs/>
          <w:sz w:val="48"/>
          <w:szCs w:val="30"/>
        </w:rPr>
      </w:pPr>
      <w:r>
        <w:rPr>
          <w:rFonts w:ascii="宋体" w:hAnsi="宋体"/>
          <w:b/>
          <w:bCs/>
          <w:sz w:val="48"/>
          <w:szCs w:val="30"/>
        </w:rPr>
        <w:t>2022年年度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自2022-04-14起至2022-12-31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28</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5,930,000.00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hint="eastAsia" w:ascii="宋体" w:hAnsi="宋体" w:eastAsia="宋体"/>
                <w:lang w:val="en-US" w:eastAsia="zh-CN"/>
              </w:rPr>
            </w:pPr>
            <w:r>
              <w:t>114.44</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2022-04-14</w:t>
            </w:r>
            <w:r>
              <w:rPr>
                <w:rFonts w:hint="eastAsia" w:ascii="宋体" w:hAnsi="宋体"/>
              </w:rPr>
              <w:t>至</w:t>
            </w:r>
            <w:r>
              <w:rPr>
                <w:rFonts w:ascii="宋体" w:hAnsi="宋体"/>
              </w:rPr>
              <w:t>2022-12-31</w:t>
            </w:r>
            <w:r>
              <w:rPr>
                <w:rFonts w:hint="eastAsia" w:ascii="宋体" w:hAnsi="宋体"/>
              </w:rPr>
              <w:t>）</w:t>
            </w:r>
          </w:p>
        </w:tc>
        <w:tc>
          <w:tcPr>
            <w:tcW w:w="5103" w:type="dxa"/>
            <w:vAlign w:val="center"/>
          </w:tcPr>
          <w:p>
            <w:pPr>
              <w:jc w:val="right"/>
            </w:pPr>
            <w:r>
              <w:t>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0.79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2022-04-14</w:t>
            </w:r>
            <w:r>
              <w:rPr>
                <w:rFonts w:hint="eastAsia"/>
                <w:b/>
              </w:rPr>
              <w:t xml:space="preserve">至 </w:t>
            </w:r>
            <w:r>
              <w:rPr>
                <w:b/>
              </w:rPr>
              <w:t>2022-12-31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-646.61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47,032.90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5,977,032.90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1.0079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127,538.58</w:t>
            </w:r>
          </w:p>
        </w:tc>
        <w:tc>
          <w:tcPr>
            <w:tcW w:w="1705" w:type="dxa"/>
            <w:vAlign w:val="center"/>
          </w:tcPr>
          <w:p>
            <w:pPr>
              <w:jc w:val="right"/>
            </w:pPr>
            <w: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6,647,642.16</w:t>
            </w:r>
          </w:p>
        </w:tc>
        <w:tc>
          <w:tcPr>
            <w:tcW w:w="1705" w:type="dxa"/>
            <w:vAlign w:val="center"/>
          </w:tcPr>
          <w:p>
            <w:pPr>
              <w:jc w:val="right"/>
            </w:pPr>
            <w:r>
              <w:t>111.21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6,647,642.16</w:t>
            </w:r>
          </w:p>
        </w:tc>
        <w:tc>
          <w:tcPr>
            <w:tcW w:w="1705" w:type="dxa"/>
            <w:vAlign w:val="center"/>
          </w:tcPr>
          <w:p>
            <w:pPr>
              <w:jc w:val="right"/>
            </w:pPr>
            <w:r>
              <w:t>111.21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65,557.32</w:t>
            </w:r>
          </w:p>
        </w:tc>
        <w:tc>
          <w:tcPr>
            <w:tcW w:w="1705" w:type="dxa"/>
            <w:vAlign w:val="center"/>
          </w:tcPr>
          <w:p>
            <w:pPr>
              <w:jc w:val="right"/>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5,977,679.51</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39.81</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5,977,679.51</w:t>
            </w:r>
          </w:p>
        </w:tc>
        <w:tc>
          <w:tcPr>
            <w:tcW w:w="1749" w:type="dxa"/>
            <w:shd w:val="clear" w:color="auto" w:fill="auto"/>
          </w:tcPr>
          <w:p>
            <w:pPr>
              <w:jc w:val="right"/>
            </w:pPr>
            <w:r>
              <w:t>100.00</w:t>
            </w:r>
          </w:p>
        </w:tc>
        <w:tc>
          <w:tcPr>
            <w:tcW w:w="1653" w:type="dxa"/>
          </w:tcPr>
          <w:p>
            <w:pPr>
              <w:jc w:val="right"/>
            </w:pPr>
            <w:r>
              <w:t>6,840,777.87</w:t>
            </w:r>
          </w:p>
        </w:tc>
        <w:tc>
          <w:tcPr>
            <w:tcW w:w="1705" w:type="dxa"/>
          </w:tcPr>
          <w:p>
            <w:pPr>
              <w:jc w:val="right"/>
            </w:pPr>
            <w:r>
              <w:t>114.44</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5,977,679.51</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209,832.04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180,732.41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159,098.22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22中交集MTN001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150,715.98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149,603.11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133,380.96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22鄂交Y1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130,395.67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22赣投Y1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130,383.16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22铁建Y1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129,812.61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20诸交01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129,608.08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2.17</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w:t>
      </w:r>
      <w:r>
        <w:rPr>
          <w:rFonts w:hint="eastAsia" w:ascii="宋体" w:hAnsi="宋体"/>
          <w:sz w:val="28"/>
          <w:szCs w:val="28"/>
          <w:lang w:val="en-US" w:eastAsia="zh-CN"/>
        </w:rPr>
        <w:t>2</w:t>
      </w:r>
      <w:r>
        <w:rPr>
          <w:rFonts w:ascii="宋体" w:hAnsi="宋体"/>
          <w:sz w:val="28"/>
          <w:szCs w:val="28"/>
        </w:rPr>
        <w:t>-</w:t>
      </w:r>
      <w:r>
        <w:rPr>
          <w:rFonts w:hint="eastAsia" w:ascii="宋体" w:hAnsi="宋体"/>
          <w:sz w:val="28"/>
          <w:szCs w:val="28"/>
          <w:lang w:val="en-US" w:eastAsia="zh-CN"/>
        </w:rPr>
        <w:t>28</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195622C1"/>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2023-02-27T03:08:43Z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