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宋体" w:hAnsi="宋体"/>
          <w:b/>
          <w:bCs/>
          <w:sz w:val="48"/>
          <w:szCs w:val="30"/>
        </w:rPr>
        <w:t>德清农商银行丰收喜悦月月赢2号28天定期开放式净值型理财产品</w:t>
      </w:r>
    </w:p>
    <w:p>
      <w:pPr>
        <w:jc w:val="center"/>
        <w:rPr>
          <w:rFonts w:ascii="宋体" w:hAnsi="宋体"/>
          <w:b/>
          <w:bCs/>
          <w:sz w:val="48"/>
          <w:szCs w:val="30"/>
        </w:rPr>
      </w:pPr>
      <w:r>
        <w:rPr>
          <w:rFonts w:ascii="宋体" w:hAnsi="宋体"/>
          <w:b/>
          <w:bCs/>
          <w:sz w:val="48"/>
          <w:szCs w:val="30"/>
        </w:rPr>
        <w:t>2022年第4季度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自2022-10-01起至2022-12-31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浙江德清农村商业银行股份有限公司“丰收喜悦”月月赢2号28天定期开放式净值型理财产品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2031-10-14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24,140,000.00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w:t>
            </w:r>
            <w:r>
              <w:rPr>
                <w:rFonts w:hint="eastAsia" w:ascii="宋体" w:hAnsi="宋体"/>
                <w:lang w:val="en-US" w:eastAsia="zh-CN"/>
              </w:rPr>
              <w:t>1.8</w:t>
            </w:r>
            <w:r>
              <w:rPr>
                <w:rFonts w:ascii="宋体" w:hAnsi="宋体"/>
              </w:rPr>
              <w:t>%-3.</w:t>
            </w:r>
            <w:r>
              <w:rPr>
                <w:rFonts w:hint="eastAsia" w:ascii="宋体" w:hAnsi="宋体"/>
                <w:lang w:val="en-US" w:eastAsia="zh-CN"/>
              </w:rPr>
              <w:t>0</w:t>
            </w:r>
            <w:r>
              <w:rPr>
                <w:rFonts w:ascii="宋体" w:hAnsi="宋体"/>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2022-10-01</w:t>
            </w:r>
            <w:r>
              <w:rPr>
                <w:rFonts w:hint="eastAsia" w:ascii="宋体" w:hAnsi="宋体"/>
              </w:rPr>
              <w:t>至</w:t>
            </w:r>
            <w:r>
              <w:rPr>
                <w:rFonts w:ascii="宋体" w:hAnsi="宋体"/>
              </w:rPr>
              <w:t>2022-12-31</w:t>
            </w:r>
            <w:r>
              <w:rPr>
                <w:rFonts w:hint="eastAsia" w:ascii="宋体" w:hAnsi="宋体"/>
              </w:rPr>
              <w:t>）</w:t>
            </w:r>
          </w:p>
        </w:tc>
        <w:tc>
          <w:tcPr>
            <w:tcW w:w="5103" w:type="dxa"/>
            <w:vAlign w:val="center"/>
          </w:tcPr>
          <w:p>
            <w:pPr>
              <w:jc w:val="right"/>
            </w:pPr>
            <w:r>
              <w:t>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3.20</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2022-10-01</w:t>
            </w:r>
            <w:r>
              <w:rPr>
                <w:rFonts w:hint="eastAsia"/>
                <w:b/>
              </w:rPr>
              <w:t xml:space="preserve">至 </w:t>
            </w:r>
            <w:r>
              <w:rPr>
                <w:b/>
              </w:rPr>
              <w:t>2022-12-31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154,615.69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112,743.69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24,167,933.71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1.0011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6,458,896.71</w:t>
            </w:r>
          </w:p>
        </w:tc>
        <w:tc>
          <w:tcPr>
            <w:tcW w:w="1705" w:type="dxa"/>
            <w:vAlign w:val="center"/>
          </w:tcPr>
          <w:p>
            <w:pPr>
              <w:jc w:val="right"/>
            </w:pPr>
            <w:r>
              <w:t>26.72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6,207,042.61</w:t>
            </w:r>
          </w:p>
        </w:tc>
        <w:tc>
          <w:tcPr>
            <w:tcW w:w="1705" w:type="dxa"/>
            <w:vAlign w:val="center"/>
          </w:tcPr>
          <w:p>
            <w:pPr>
              <w:jc w:val="right"/>
            </w:pPr>
            <w:r>
              <w:t>25.68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6,207,042.61</w:t>
            </w:r>
          </w:p>
        </w:tc>
        <w:tc>
          <w:tcPr>
            <w:tcW w:w="1705" w:type="dxa"/>
            <w:vAlign w:val="center"/>
          </w:tcPr>
          <w:p>
            <w:pPr>
              <w:jc w:val="right"/>
            </w:pPr>
            <w:r>
              <w:t>25.68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9,545,688.76</w:t>
            </w:r>
          </w:p>
        </w:tc>
        <w:tc>
          <w:tcPr>
            <w:tcW w:w="1705" w:type="dxa"/>
            <w:vAlign w:val="center"/>
          </w:tcPr>
          <w:p>
            <w:pPr>
              <w:jc w:val="right"/>
            </w:pPr>
            <w:r>
              <w:t>39.49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869,015.62</w:t>
            </w:r>
          </w:p>
        </w:tc>
        <w:tc>
          <w:tcPr>
            <w:tcW w:w="1705" w:type="dxa"/>
            <w:vAlign w:val="center"/>
          </w:tcPr>
          <w:p>
            <w:pPr>
              <w:jc w:val="right"/>
            </w:pPr>
            <w: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24,171,382.00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1,114,091.55</w:t>
            </w:r>
          </w:p>
        </w:tc>
        <w:tc>
          <w:tcPr>
            <w:tcW w:w="1705" w:type="dxa"/>
            <w:vAlign w:val="center"/>
          </w:tcPr>
          <w:p>
            <w:pPr>
              <w:jc w:val="right"/>
            </w:pPr>
            <w:r>
              <w:t>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24,171,382.00</w:t>
            </w:r>
          </w:p>
        </w:tc>
        <w:tc>
          <w:tcPr>
            <w:tcW w:w="1749" w:type="dxa"/>
            <w:shd w:val="clear" w:color="auto" w:fill="auto"/>
          </w:tcPr>
          <w:p>
            <w:pPr>
              <w:jc w:val="right"/>
            </w:pPr>
            <w:r>
              <w:t>100.00</w:t>
            </w:r>
          </w:p>
        </w:tc>
        <w:tc>
          <w:tcPr>
            <w:tcW w:w="1653" w:type="dxa"/>
          </w:tcPr>
          <w:p>
            <w:pPr>
              <w:jc w:val="right"/>
            </w:pPr>
            <w:r>
              <w:t>24,194,735.24</w:t>
            </w:r>
          </w:p>
        </w:tc>
        <w:tc>
          <w:tcPr>
            <w:tcW w:w="1705" w:type="dxa"/>
          </w:tcPr>
          <w:p>
            <w:pPr>
              <w:jc w:val="right"/>
            </w:pPr>
            <w:r>
              <w:t>100.10</w:t>
            </w:r>
          </w:p>
        </w:tc>
      </w:tr>
    </w:tbl>
    <w:p>
      <w:pPr>
        <w:ind w:left="420" w:leftChars="200"/>
        <w:jc w:val="left"/>
        <w:rPr>
          <w:rFonts w:ascii="宋体" w:hAnsi="宋体"/>
          <w:sz w:val="24"/>
        </w:rPr>
      </w:pPr>
    </w:p>
    <w:p>
      <w:pPr>
        <w:ind w:left="420" w:leftChars="200"/>
        <w:jc w:val="left"/>
        <w:rPr>
          <w:rFonts w:hint="eastAsia" w:asciiTheme="minorEastAsia" w:hAnsiTheme="minorEastAsia" w:eastAsiaTheme="minorEastAsia"/>
          <w:szCs w:val="21"/>
        </w:rPr>
      </w:pPr>
      <w:r>
        <w:rPr>
          <w:rFonts w:hint="eastAsia" w:asciiTheme="minorEastAsia" w:hAnsiTheme="minorEastAsia" w:eastAsiaTheme="minorEastAsia"/>
          <w:szCs w:val="21"/>
        </w:rPr>
        <w:t>注1：间接投资占产品总资产的比例（%）为占本产品总资产的比例（%）。</w:t>
      </w:r>
    </w:p>
    <w:p>
      <w:pPr>
        <w:ind w:left="420" w:leftChars="200"/>
        <w:jc w:val="left"/>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注2：</w:t>
      </w:r>
      <w:r>
        <w:rPr>
          <w:rFonts w:hint="eastAsia"/>
          <w:lang w:eastAsia="zh-CN"/>
        </w:rPr>
        <w:t>穿透后产品杠杆率</w:t>
      </w:r>
      <w:r>
        <w:rPr>
          <w:rFonts w:hint="eastAsia"/>
          <w:lang w:val="en-US" w:eastAsia="zh-CN"/>
        </w:rPr>
        <w:t>100.10%。</w:t>
      </w:r>
      <w:bookmarkStart w:id="5" w:name="_GoBack"/>
      <w:bookmarkEnd w:id="5"/>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jc w:val="left"/>
        <w:rPr>
          <w:rFonts w:hint="eastAsia" w:asciiTheme="minorEastAsia" w:hAnsiTheme="minorEastAsia" w:eastAsiaTheme="minorEastAsia"/>
          <w:szCs w:val="21"/>
        </w:rPr>
      </w:pPr>
      <w:r>
        <w:rPr>
          <w:rFonts w:hint="eastAsia" w:ascii="宋体" w:hAnsi="宋体"/>
          <w:sz w:val="24"/>
        </w:rPr>
        <w:t xml:space="preserve">   </w:t>
      </w: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ind w:firstLine="420" w:firstLineChars="200"/>
        <w:jc w:val="left"/>
        <w:rPr>
          <w:rFonts w:asciiTheme="minorEastAsia" w:hAnsiTheme="minorEastAsia" w:eastAsiaTheme="minorEastAsia"/>
          <w:sz w:val="24"/>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财通证券资管月月赢2号集合资产管理计划</w:t>
            </w:r>
          </w:p>
        </w:tc>
        <w:tc>
          <w:tcPr>
            <w:tcW w:w="2693" w:type="dxa"/>
            <w:shd w:val="clear" w:color="auto" w:fill="auto"/>
            <w:vAlign w:val="center"/>
          </w:tcPr>
          <w:p>
            <w:pPr>
              <w:jc w:val="right"/>
            </w:pPr>
            <w:r>
              <w:t>24,171,382.00</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银行间质押式回购</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3,461,147.96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14.32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中信建投凤凰B</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2,394,084.39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9.91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财通资管鑫管家B</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2,393,990.83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9.91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20如皋02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1,163,829.10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4.82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财通资管鸿运中短债E</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1,113,947.83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4.61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债券质押协议回购2806</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1,057,841.42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4.38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22国债09</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648,158.15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20赣港01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586,732.61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2.43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20新业01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577,611.36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财通资管鸿福短债A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556,873.66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2.30</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2023-01-15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480A0501"/>
    <w:rsid w:val="63F252E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2023-01-29T02:25:56Z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