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德清农商银行丰收信福2022年第34期封闭净值型人民币理财产品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34</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8,110,000.00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[3.75%-3.95%]/年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0.07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-151,008.83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8,115,707.65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1.0007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9,479,490.03</w:t>
            </w:r>
          </w:p>
        </w:tc>
        <w:tc>
          <w:tcPr>
            <w:tcW w:w="1705" w:type="dxa"/>
            <w:vAlign w:val="center"/>
          </w:tcPr>
          <w:p>
            <w:pPr>
              <w:jc w:val="right"/>
            </w:pPr>
            <w:r>
              <w:t>116.79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9,479,490.03</w:t>
            </w:r>
          </w:p>
        </w:tc>
        <w:tc>
          <w:tcPr>
            <w:tcW w:w="1705" w:type="dxa"/>
            <w:vAlign w:val="center"/>
          </w:tcPr>
          <w:p>
            <w:pPr>
              <w:jc w:val="right"/>
            </w:pPr>
            <w:r>
              <w:t>116.79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85,224.66</w:t>
            </w:r>
          </w:p>
        </w:tc>
        <w:tc>
          <w:tcPr>
            <w:tcW w:w="1705" w:type="dxa"/>
            <w:vAlign w:val="center"/>
          </w:tcPr>
          <w:p>
            <w:pPr>
              <w:jc w:val="right"/>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8,116,516.67</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132.84</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8,116,516.67</w:t>
            </w:r>
          </w:p>
        </w:tc>
        <w:tc>
          <w:tcPr>
            <w:tcW w:w="1749" w:type="dxa"/>
            <w:shd w:val="clear" w:color="auto" w:fill="auto"/>
          </w:tcPr>
          <w:p>
            <w:pPr>
              <w:jc w:val="right"/>
            </w:pPr>
            <w:r>
              <w:t>100.00</w:t>
            </w:r>
          </w:p>
        </w:tc>
        <w:tc>
          <w:tcPr>
            <w:tcW w:w="1653" w:type="dxa"/>
          </w:tcPr>
          <w:p>
            <w:pPr>
              <w:jc w:val="right"/>
            </w:pPr>
            <w:r>
              <w:t>9,564,847.52</w:t>
            </w:r>
          </w:p>
        </w:tc>
        <w:tc>
          <w:tcPr>
            <w:tcW w:w="1705" w:type="dxa"/>
          </w:tcPr>
          <w:p>
            <w:pPr>
              <w:jc w:val="right"/>
            </w:pPr>
            <w:r>
              <w:t>117.84</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：穿透后产品杠杆率</w:t>
      </w:r>
      <w:r>
        <w:rPr>
          <w:rFonts w:hint="eastAsia" w:asciiTheme="minorEastAsia" w:hAnsiTheme="minorEastAsia" w:eastAsiaTheme="minorEastAsia"/>
          <w:szCs w:val="21"/>
          <w:lang w:val="en-US" w:eastAsia="zh-CN"/>
        </w:rPr>
        <w:t>117.84</w:t>
      </w:r>
      <w:bookmarkStart w:id="5" w:name="_GoBack"/>
      <w:bookmarkEnd w:id="5"/>
      <w:r>
        <w:rPr>
          <w:rFonts w:hint="eastAsia" w:asciiTheme="minorEastAsia" w:hAnsiTheme="minorEastAsia" w:eastAsiaTheme="minorEastAsia"/>
          <w:szCs w:val="21"/>
        </w:rPr>
        <w:t>%。</w:t>
      </w:r>
    </w:p>
    <w:p>
      <w:pPr>
        <w:ind w:left="420" w:leftChars="200"/>
        <w:jc w:val="left"/>
        <w:rPr>
          <w:rFonts w:hint="eastAsia" w:asciiTheme="minorEastAsia" w:hAnsiTheme="minorEastAsia" w:eastAsiaTheme="minorEastAsia"/>
          <w:szCs w:val="21"/>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jc w:val="left"/>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20" w:firstLineChars="200"/>
        <w:jc w:val="left"/>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中信证券丰收信益7号集合资产管理计划</w:t>
            </w:r>
          </w:p>
        </w:tc>
        <w:tc>
          <w:tcPr>
            <w:tcW w:w="2693" w:type="dxa"/>
            <w:shd w:val="clear" w:color="auto" w:fill="auto"/>
            <w:vAlign w:val="center"/>
          </w:tcPr>
          <w:p>
            <w:pPr>
              <w:jc w:val="right"/>
            </w:pPr>
            <w:r>
              <w:t>8,116,516.67</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393,945.63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389,417.41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22海安建投PPN001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306,773.53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21嵊州城投PPN001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305,294.65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304,344.04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22铁投Y2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299,016.22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22湖交投SCP001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298,404.95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20新华人寿</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297,395.00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22天生南通PPN001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297,059.53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22华泰12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296,281.62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3.65</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4E46F19"/>
    <w:rsid w:val="6D695E6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2023-01-29T02:32:23Z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