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hint="eastAsia" w:ascii="宋体" w:hAnsi="宋体"/>
          <w:b/>
          <w:bCs/>
          <w:sz w:val="48"/>
          <w:szCs w:val="30"/>
        </w:rPr>
        <w:t>德清农商银行丰收信福2022年第30期封闭净值型人民币理财产品</w:t>
      </w:r>
    </w:p>
    <w:p>
      <w:pPr>
        <w:jc w:val="center"/>
        <w:rPr>
          <w:rFonts w:ascii="宋体" w:hAnsi="宋体"/>
          <w:b/>
          <w:bCs/>
          <w:sz w:val="48"/>
          <w:szCs w:val="30"/>
        </w:rPr>
      </w:pPr>
      <w:r>
        <w:rPr>
          <w:rFonts w:ascii="宋体" w:hAnsi="宋体"/>
          <w:b/>
          <w:bCs/>
          <w:sz w:val="48"/>
          <w:szCs w:val="30"/>
        </w:rPr>
        <w:t>2022年第4季度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自2022-10-01起至2022-12-31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浙江德清农村商业银行股份有限公司“丰收信福”2022年第</w:t>
            </w:r>
            <w:r>
              <w:rPr>
                <w:rFonts w:hint="eastAsia" w:ascii="宋体" w:hAnsi="宋体"/>
                <w:lang w:val="en-US" w:eastAsia="zh-CN"/>
              </w:rPr>
              <w:t>30</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8,230,000.00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[3.96%-4.06%]/年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2022-10-01</w:t>
            </w:r>
            <w:r>
              <w:rPr>
                <w:rFonts w:hint="eastAsia" w:ascii="宋体" w:hAnsi="宋体"/>
              </w:rPr>
              <w:t>至</w:t>
            </w:r>
            <w:r>
              <w:rPr>
                <w:rFonts w:ascii="宋体" w:hAnsi="宋体"/>
              </w:rPr>
              <w:t>2022-12-31</w:t>
            </w:r>
            <w:r>
              <w:rPr>
                <w:rFonts w:hint="eastAsia" w:ascii="宋体" w:hAnsi="宋体"/>
              </w:rPr>
              <w:t>）</w:t>
            </w:r>
          </w:p>
        </w:tc>
        <w:tc>
          <w:tcPr>
            <w:tcW w:w="5103" w:type="dxa"/>
            <w:vAlign w:val="center"/>
          </w:tcPr>
          <w:p>
            <w:pPr>
              <w:jc w:val="right"/>
            </w:pPr>
            <w:r>
              <w:t>-1.63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1.08</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2022-10-01</w:t>
            </w:r>
            <w:r>
              <w:rPr>
                <w:rFonts w:hint="eastAsia"/>
                <w:b/>
              </w:rPr>
              <w:t xml:space="preserve">至 </w:t>
            </w:r>
            <w:r>
              <w:rPr>
                <w:b/>
              </w:rPr>
              <w:t>2022-12-31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-318.11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-138,027.03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8,319,165.34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1.0108</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84,936.57</w:t>
            </w:r>
          </w:p>
        </w:tc>
        <w:tc>
          <w:tcPr>
            <w:tcW w:w="1705" w:type="dxa"/>
            <w:vAlign w:val="center"/>
          </w:tcPr>
          <w:p>
            <w:pPr>
              <w:jc w:val="right"/>
            </w:pPr>
            <w: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9,980,718.53</w:t>
            </w:r>
          </w:p>
        </w:tc>
        <w:tc>
          <w:tcPr>
            <w:tcW w:w="1705" w:type="dxa"/>
            <w:vAlign w:val="center"/>
          </w:tcPr>
          <w:p>
            <w:pPr>
              <w:jc w:val="right"/>
            </w:pPr>
            <w:r>
              <w:t>119.96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9,980,718.53</w:t>
            </w:r>
          </w:p>
        </w:tc>
        <w:tc>
          <w:tcPr>
            <w:tcW w:w="1705" w:type="dxa"/>
            <w:vAlign w:val="center"/>
          </w:tcPr>
          <w:p>
            <w:pPr>
              <w:jc w:val="right"/>
            </w:pPr>
            <w:r>
              <w:t>119.96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91,442.70</w:t>
            </w:r>
          </w:p>
        </w:tc>
        <w:tc>
          <w:tcPr>
            <w:tcW w:w="1705" w:type="dxa"/>
            <w:vAlign w:val="center"/>
          </w:tcPr>
          <w:p>
            <w:pPr>
              <w:jc w:val="right"/>
            </w:pPr>
            <w: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8,320,040.46</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564,443.61</w:t>
            </w:r>
          </w:p>
        </w:tc>
        <w:tc>
          <w:tcPr>
            <w:tcW w:w="1705" w:type="dxa"/>
            <w:vAlign w:val="center"/>
          </w:tcPr>
          <w:p>
            <w:pPr>
              <w:jc w:val="right"/>
            </w:pPr>
            <w:r>
              <w:t>6.78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8,320,040.46</w:t>
            </w:r>
          </w:p>
        </w:tc>
        <w:tc>
          <w:tcPr>
            <w:tcW w:w="1749" w:type="dxa"/>
            <w:shd w:val="clear" w:color="auto" w:fill="auto"/>
          </w:tcPr>
          <w:p>
            <w:pPr>
              <w:jc w:val="right"/>
            </w:pPr>
            <w:r>
              <w:t>100.00</w:t>
            </w:r>
          </w:p>
        </w:tc>
        <w:tc>
          <w:tcPr>
            <w:tcW w:w="1653" w:type="dxa"/>
          </w:tcPr>
          <w:p>
            <w:pPr>
              <w:jc w:val="right"/>
            </w:pPr>
            <w:r>
              <w:t>10,721,541.41</w:t>
            </w:r>
          </w:p>
        </w:tc>
        <w:tc>
          <w:tcPr>
            <w:tcW w:w="1705" w:type="dxa"/>
          </w:tcPr>
          <w:p>
            <w:pPr>
              <w:jc w:val="right"/>
            </w:pPr>
            <w:r>
              <w:t>128.86</w:t>
            </w:r>
          </w:p>
        </w:tc>
      </w:tr>
    </w:tbl>
    <w:p>
      <w:pPr>
        <w:ind w:left="420" w:leftChars="200"/>
        <w:jc w:val="left"/>
        <w:rPr>
          <w:rFonts w:ascii="宋体" w:hAnsi="宋体"/>
          <w:sz w:val="24"/>
        </w:rPr>
      </w:pPr>
    </w:p>
    <w:p>
      <w:pPr>
        <w:ind w:left="420" w:leftChars="200"/>
        <w:jc w:val="left"/>
        <w:rPr>
          <w:rFonts w:hint="eastAsia" w:asciiTheme="minorEastAsia" w:hAnsiTheme="minorEastAsia" w:eastAsiaTheme="minorEastAsia"/>
          <w:szCs w:val="21"/>
        </w:rPr>
      </w:pPr>
      <w:r>
        <w:rPr>
          <w:rFonts w:hint="eastAsia" w:asciiTheme="minorEastAsia" w:hAnsiTheme="minorEastAsia" w:eastAsiaTheme="minorEastAsia"/>
          <w:szCs w:val="21"/>
        </w:rPr>
        <w:t>注1：间接投资占产品总资产的比例（%）为占本产品总资产的比例（%）。</w:t>
      </w:r>
    </w:p>
    <w:p>
      <w:pPr>
        <w:ind w:left="420" w:leftChars="200"/>
        <w:jc w:val="left"/>
        <w:rPr>
          <w:rFonts w:hint="eastAsia" w:asciiTheme="minorEastAsia" w:hAnsiTheme="minorEastAsia" w:eastAsiaTheme="minorEastAsia"/>
          <w:szCs w:val="21"/>
        </w:rPr>
      </w:pPr>
      <w:r>
        <w:rPr>
          <w:rFonts w:hint="eastAsia" w:asciiTheme="minorEastAsia" w:hAnsiTheme="minorEastAsia" w:eastAsiaTheme="minorEastAsia"/>
          <w:szCs w:val="21"/>
        </w:rPr>
        <w:t>注</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：穿透后产品杠杆率</w:t>
      </w:r>
      <w:r>
        <w:rPr>
          <w:rFonts w:hint="eastAsia" w:asciiTheme="minorEastAsia" w:hAnsiTheme="minorEastAsia" w:eastAsiaTheme="minorEastAsia"/>
          <w:szCs w:val="21"/>
          <w:lang w:val="en-US" w:eastAsia="zh-CN"/>
        </w:rPr>
        <w:t>128.86</w:t>
      </w:r>
      <w:bookmarkStart w:id="5" w:name="_GoBack"/>
      <w:bookmarkEnd w:id="5"/>
      <w:r>
        <w:rPr>
          <w:rFonts w:hint="eastAsia" w:asciiTheme="minorEastAsia" w:hAnsiTheme="minorEastAsia" w:eastAsiaTheme="minorEastAsia"/>
          <w:szCs w:val="21"/>
        </w:rPr>
        <w:t>%。</w:t>
      </w:r>
    </w:p>
    <w:p>
      <w:pPr>
        <w:ind w:left="420" w:leftChars="200"/>
        <w:jc w:val="left"/>
        <w:rPr>
          <w:rFonts w:hint="eastAsia" w:asciiTheme="minorEastAsia" w:hAnsiTheme="minorEastAsia" w:eastAsiaTheme="minorEastAsia"/>
          <w:szCs w:val="21"/>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jc w:val="left"/>
        <w:rPr>
          <w:rFonts w:hint="eastAsia" w:asciiTheme="minorEastAsia" w:hAnsiTheme="minorEastAsia" w:eastAsiaTheme="minorEastAsia"/>
          <w:szCs w:val="21"/>
        </w:rPr>
      </w:pPr>
      <w:r>
        <w:rPr>
          <w:rFonts w:hint="eastAsia" w:ascii="宋体" w:hAnsi="宋体"/>
          <w:sz w:val="24"/>
        </w:rPr>
        <w:t xml:space="preserve"> </w:t>
      </w:r>
      <w:r>
        <w:rPr>
          <w:rFonts w:hint="eastAsia" w:asciiTheme="minorEastAsia" w:hAnsiTheme="minorEastAsia" w:eastAsiaTheme="minorEastAsia"/>
          <w:szCs w:val="21"/>
        </w:rPr>
        <w:t xml:space="preserve"> </w:t>
      </w:r>
      <w:r>
        <w:rPr>
          <w:rFonts w:hint="eastAsia" w:asciiTheme="minorEastAsia" w:hAnsiTheme="minorEastAsia" w:eastAsiaTheme="minorEastAsia"/>
          <w:szCs w:val="21"/>
          <w:lang w:val="en-US" w:eastAsia="zh-CN"/>
        </w:rPr>
        <w:t xml:space="preserve">  </w:t>
      </w:r>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ind w:firstLine="420" w:firstLineChars="200"/>
        <w:jc w:val="left"/>
        <w:rPr>
          <w:rFonts w:hint="eastAsia" w:asciiTheme="minorEastAsia" w:hAnsiTheme="minorEastAsia" w:eastAsiaTheme="minorEastAsia"/>
          <w:sz w:val="24"/>
          <w:szCs w:val="21"/>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中信证券星云17号集合资产管理计划</w:t>
            </w:r>
          </w:p>
        </w:tc>
        <w:tc>
          <w:tcPr>
            <w:tcW w:w="2693" w:type="dxa"/>
            <w:shd w:val="clear" w:color="auto" w:fill="auto"/>
            <w:vAlign w:val="center"/>
          </w:tcPr>
          <w:p>
            <w:pPr>
              <w:jc w:val="right"/>
            </w:pPr>
            <w:r>
              <w:t>8,320,040.46</w:t>
            </w:r>
          </w:p>
        </w:tc>
        <w:tc>
          <w:tcPr>
            <w:tcW w:w="2431" w:type="dxa"/>
            <w:shd w:val="clear" w:color="auto" w:fill="auto"/>
            <w:vAlign w:val="center"/>
          </w:tcPr>
          <w:p>
            <w:pPr>
              <w:jc w:val="right"/>
            </w:pPr>
            <w:bookmarkStart w:id="3" w:name="OLE_LINK6"/>
            <w:bookmarkStart w:id="4" w:name="OLE_LINK5"/>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22中交集MTN001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275,863.98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3.32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葛洲YK02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273,598.61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3.29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22建工Y5</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249,479.27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22建银03</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198,054.29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22中宸01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170,031.18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22建行永续债01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164,296.22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22浙资01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144,375.04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144,025.29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22兴杭01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143,660.49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143,581.22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1.73</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2023-01-15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5815A91"/>
    <w:rsid w:val="42B940CF"/>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uiPriority w:val="0"/>
    <w:rPr>
      <w:sz w:val="21"/>
      <w:szCs w:val="21"/>
    </w:rPr>
  </w:style>
  <w:style w:type="character" w:styleId="22">
    <w:name w:val="footnote reference"/>
    <w:qFormat/>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2023-01-29T02:29:40Z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