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宋体" w:hAnsi="宋体"/>
          <w:b/>
          <w:bCs/>
          <w:sz w:val="48"/>
          <w:szCs w:val="30"/>
        </w:rPr>
        <w:t>德清农商银行丰收信福2022年第28期封闭净值型人民币理财产品</w:t>
      </w:r>
    </w:p>
    <w:p>
      <w:pPr>
        <w:jc w:val="center"/>
        <w:rPr>
          <w:rFonts w:ascii="宋体" w:hAnsi="宋体"/>
          <w:b/>
          <w:bCs/>
          <w:sz w:val="48"/>
          <w:szCs w:val="30"/>
        </w:rPr>
      </w:pPr>
      <w:r>
        <w:rPr>
          <w:rFonts w:ascii="宋体" w:hAnsi="宋体"/>
          <w:b/>
          <w:bCs/>
          <w:sz w:val="48"/>
          <w:szCs w:val="30"/>
        </w:rPr>
        <w:t>2022年第4季度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自2022-10-01起至2022-12-31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浙江德清农村商业银行股份有限公司“丰收信福”2022年第</w:t>
            </w:r>
            <w:r>
              <w:rPr>
                <w:rFonts w:hint="eastAsia" w:ascii="宋体" w:hAnsi="宋体"/>
                <w:lang w:val="en-US" w:eastAsia="zh-CN"/>
              </w:rPr>
              <w:t>28</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5,930,000.00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2022-10-01</w:t>
            </w:r>
            <w:r>
              <w:rPr>
                <w:rFonts w:hint="eastAsia" w:ascii="宋体" w:hAnsi="宋体"/>
              </w:rPr>
              <w:t>至</w:t>
            </w:r>
            <w:r>
              <w:rPr>
                <w:rFonts w:ascii="宋体" w:hAnsi="宋体"/>
              </w:rPr>
              <w:t>2022-12-31</w:t>
            </w:r>
            <w:r>
              <w:rPr>
                <w:rFonts w:hint="eastAsia" w:ascii="宋体" w:hAnsi="宋体"/>
              </w:rPr>
              <w:t>）</w:t>
            </w:r>
          </w:p>
        </w:tc>
        <w:tc>
          <w:tcPr>
            <w:tcW w:w="5103" w:type="dxa"/>
            <w:vAlign w:val="center"/>
          </w:tcPr>
          <w:p>
            <w:pPr>
              <w:jc w:val="right"/>
            </w:pPr>
            <w:r>
              <w:t>-1.79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0.79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2022-10-01</w:t>
            </w:r>
            <w:r>
              <w:rPr>
                <w:rFonts w:hint="eastAsia"/>
                <w:b/>
              </w:rPr>
              <w:t xml:space="preserve">至 </w:t>
            </w:r>
            <w:r>
              <w:rPr>
                <w:b/>
              </w:rPr>
              <w:t>2022-12-31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-228.70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-109,448.03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5,977,032.90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1.0079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127,538.58</w:t>
            </w:r>
          </w:p>
        </w:tc>
        <w:tc>
          <w:tcPr>
            <w:tcW w:w="1705" w:type="dxa"/>
            <w:vAlign w:val="center"/>
          </w:tcPr>
          <w:p>
            <w:pPr>
              <w:jc w:val="right"/>
            </w:pPr>
            <w:r>
              <w:t>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6,647,642.16</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6,647,642.16</w:t>
            </w:r>
          </w:p>
        </w:tc>
        <w:tc>
          <w:tcPr>
            <w:tcW w:w="1705" w:type="dxa"/>
            <w:vAlign w:val="center"/>
          </w:tcPr>
          <w:p>
            <w:pPr>
              <w:jc w:val="right"/>
            </w:pPr>
            <w:r>
              <w:t>111.21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65,557.32</w:t>
            </w:r>
          </w:p>
        </w:tc>
        <w:tc>
          <w:tcPr>
            <w:tcW w:w="1705" w:type="dxa"/>
            <w:vAlign w:val="center"/>
          </w:tcPr>
          <w:p>
            <w:pPr>
              <w:jc w:val="right"/>
            </w:pPr>
            <w: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5,977,679.51</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39.81</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5,977,679.51</w:t>
            </w:r>
          </w:p>
        </w:tc>
        <w:tc>
          <w:tcPr>
            <w:tcW w:w="1749" w:type="dxa"/>
            <w:shd w:val="clear" w:color="auto" w:fill="auto"/>
          </w:tcPr>
          <w:p>
            <w:pPr>
              <w:jc w:val="right"/>
            </w:pPr>
            <w:r>
              <w:t>100.00</w:t>
            </w:r>
          </w:p>
        </w:tc>
        <w:tc>
          <w:tcPr>
            <w:tcW w:w="1653" w:type="dxa"/>
          </w:tcPr>
          <w:p>
            <w:pPr>
              <w:jc w:val="right"/>
            </w:pPr>
            <w:r>
              <w:t>6,840,777.87</w:t>
            </w:r>
          </w:p>
        </w:tc>
        <w:tc>
          <w:tcPr>
            <w:tcW w:w="1705" w:type="dxa"/>
          </w:tcPr>
          <w:p>
            <w:pPr>
              <w:jc w:val="right"/>
            </w:pPr>
            <w:r>
              <w:t>114.44</w:t>
            </w:r>
          </w:p>
        </w:tc>
      </w:tr>
    </w:tbl>
    <w:p>
      <w:pPr>
        <w:ind w:left="420" w:leftChars="200"/>
        <w:jc w:val="left"/>
        <w:rPr>
          <w:rFonts w:ascii="宋体" w:hAnsi="宋体"/>
          <w:sz w:val="24"/>
        </w:rPr>
      </w:pP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注1：间接投资占产品总资产的比例（%）为占本产品总资产的比例（%）。</w:t>
      </w:r>
    </w:p>
    <w:p>
      <w:pPr>
        <w:ind w:left="420" w:leftChars="200"/>
        <w:jc w:val="left"/>
        <w:rPr>
          <w:rFonts w:hint="eastAsia"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zCs w:val="21"/>
          <w:lang w:val="en-US" w:eastAsia="zh-CN"/>
        </w:rPr>
        <w:t>2</w:t>
      </w:r>
      <w:r>
        <w:rPr>
          <w:rFonts w:hint="eastAsia" w:asciiTheme="minorEastAsia" w:hAnsiTheme="minorEastAsia" w:eastAsiaTheme="minorEastAsia"/>
          <w:szCs w:val="21"/>
        </w:rPr>
        <w:t>：穿透后产品杠杆率</w:t>
      </w:r>
      <w:r>
        <w:rPr>
          <w:rFonts w:hint="eastAsia" w:asciiTheme="minorEastAsia" w:hAnsiTheme="minorEastAsia" w:eastAsiaTheme="minorEastAsia"/>
          <w:szCs w:val="21"/>
          <w:lang w:val="en-US" w:eastAsia="zh-CN"/>
        </w:rPr>
        <w:t>114.44</w:t>
      </w:r>
      <w:r>
        <w:rPr>
          <w:rFonts w:hint="eastAsia" w:asciiTheme="minorEastAsia" w:hAnsiTheme="minorEastAsia" w:eastAsiaTheme="minorEastAsia"/>
          <w:szCs w:val="21"/>
        </w:rPr>
        <w:t>%。</w:t>
      </w:r>
      <w:bookmarkStart w:id="5" w:name="_GoBack"/>
      <w:bookmarkEnd w:id="5"/>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jc w:val="left"/>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ind w:firstLine="420" w:firstLineChars="200"/>
        <w:jc w:val="left"/>
        <w:rPr>
          <w:rFonts w:hint="eastAsia" w:asciiTheme="minorEastAsia" w:hAnsiTheme="minorEastAsia" w:eastAsiaTheme="minorEastAsia"/>
          <w:sz w:val="24"/>
          <w:szCs w:val="21"/>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中信证券丰收信益4号集合资产管理计划</w:t>
            </w:r>
          </w:p>
        </w:tc>
        <w:tc>
          <w:tcPr>
            <w:tcW w:w="2693" w:type="dxa"/>
            <w:shd w:val="clear" w:color="auto" w:fill="auto"/>
            <w:vAlign w:val="center"/>
          </w:tcPr>
          <w:p>
            <w:pPr>
              <w:jc w:val="right"/>
            </w:pPr>
            <w:r>
              <w:t>5,977,679.51</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22中泰02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209,832.04</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3.51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21申证Y2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180,732.41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3.02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22光证Y2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159,098.22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22中交集MTN001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150,715.98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2.52</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22建行永续债01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149,603.11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21国信Y2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133,380.96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2.23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22鄂交Y1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130,395.67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22赣投Y1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130,383.16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2.18</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22铁建Y1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129,812.61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20诸交01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129,608.08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2.17</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2023-01-15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FE17A34"/>
    <w:rsid w:val="359A7795"/>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qFormat/>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qFormat/>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0</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2023-01-29T02:29:17Z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