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德清农商银行丰收信福2022年第26期封闭净值型人民币理财产品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26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0.93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-152,296.62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8,316,994.25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1.0093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177,469.43</w:t>
            </w:r>
          </w:p>
        </w:tc>
        <w:tc>
          <w:tcPr>
            <w:tcW w:w="1705" w:type="dxa"/>
            <w:vAlign w:val="center"/>
          </w:tcPr>
          <w:p>
            <w:pPr>
              <w:jc w:val="right"/>
            </w:pPr>
            <w: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9,250,168.22</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9,250,168.22</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91,222.76</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8,317,917.80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55.39</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8,317,917.80</w:t>
            </w:r>
          </w:p>
        </w:tc>
        <w:tc>
          <w:tcPr>
            <w:tcW w:w="1749" w:type="dxa"/>
            <w:shd w:val="clear" w:color="auto" w:fill="auto"/>
          </w:tcPr>
          <w:p>
            <w:pPr>
              <w:jc w:val="right"/>
            </w:pPr>
            <w:r>
              <w:t>100.00</w:t>
            </w:r>
          </w:p>
        </w:tc>
        <w:tc>
          <w:tcPr>
            <w:tcW w:w="1653" w:type="dxa"/>
          </w:tcPr>
          <w:p>
            <w:pPr>
              <w:jc w:val="right"/>
            </w:pPr>
            <w:r>
              <w:t>9,518,915.80</w:t>
            </w:r>
          </w:p>
        </w:tc>
        <w:tc>
          <w:tcPr>
            <w:tcW w:w="1705" w:type="dxa"/>
          </w:tcPr>
          <w:p>
            <w:pPr>
              <w:jc w:val="right"/>
            </w:pPr>
            <w:r>
              <w:t>114.44</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114.44</w:t>
      </w:r>
      <w:r>
        <w:rPr>
          <w:rFonts w:hint="eastAsia" w:asciiTheme="minorEastAsia" w:hAnsiTheme="minorEastAsia" w:eastAsiaTheme="minorEastAsia"/>
          <w:szCs w:val="21"/>
        </w:rPr>
        <w:t>%。</w:t>
      </w:r>
      <w:bookmarkStart w:id="5" w:name="_GoBack"/>
      <w:bookmarkEnd w:id="5"/>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hint="eastAsia" w:asciiTheme="minorEastAsia" w:hAnsiTheme="minorEastAsia" w:eastAsiaTheme="minorEastAsia"/>
          <w:sz w:val="24"/>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8,317,917.80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291,980.46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251,488.45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221,384.56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209,720.70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208,172.15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185,599.09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181,445.06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181,427.66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180,633.74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180,349.14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35170BF"/>
    <w:rsid w:val="4DDB7CA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2023-01-29T02:28:36Z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