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德清农商银行丰收喜悦月月赢2号28天定期开放式净值型理财产品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25,260,000.00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2.3</w:t>
            </w:r>
            <w:r>
              <w:rPr>
                <w:rFonts w:ascii="宋体" w:hAnsi="宋体"/>
              </w:rPr>
              <w:t>%-3.</w:t>
            </w:r>
            <w:r>
              <w:rPr>
                <w:rFonts w:hint="eastAsia" w:ascii="宋体" w:hAnsi="宋体"/>
                <w:lang w:val="en-US" w:eastAsia="zh-CN"/>
              </w:rPr>
              <w:t>5</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2.73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117,282.89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181,520.89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25,330,900.86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1.0028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4,933,228.30</w:t>
            </w:r>
          </w:p>
        </w:tc>
        <w:tc>
          <w:tcPr>
            <w:tcW w:w="1705" w:type="dxa"/>
            <w:vAlign w:val="center"/>
          </w:tcPr>
          <w:p>
            <w:pPr>
              <w:jc w:val="right"/>
            </w:pPr>
            <w:r>
              <w:t>19.47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16,070,022.70</w:t>
            </w:r>
          </w:p>
        </w:tc>
        <w:tc>
          <w:tcPr>
            <w:tcW w:w="1705" w:type="dxa"/>
            <w:vAlign w:val="center"/>
          </w:tcPr>
          <w:p>
            <w:pPr>
              <w:jc w:val="right"/>
            </w:pPr>
            <w:r>
              <w:t>63.43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16,070,022.70</w:t>
            </w:r>
          </w:p>
        </w:tc>
        <w:tc>
          <w:tcPr>
            <w:tcW w:w="1705" w:type="dxa"/>
            <w:vAlign w:val="center"/>
          </w:tcPr>
          <w:p>
            <w:pPr>
              <w:jc w:val="right"/>
            </w:pPr>
            <w:r>
              <w:t>63.43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4,223,396.94</w:t>
            </w:r>
          </w:p>
        </w:tc>
        <w:tc>
          <w:tcPr>
            <w:tcW w:w="1705" w:type="dxa"/>
            <w:vAlign w:val="center"/>
          </w:tcPr>
          <w:p>
            <w:pPr>
              <w:jc w:val="right"/>
            </w:pPr>
            <w:r>
              <w:t>16.67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126,530.22</w:t>
            </w:r>
          </w:p>
        </w:tc>
        <w:tc>
          <w:tcPr>
            <w:tcW w:w="1705" w:type="dxa"/>
            <w:vAlign w:val="center"/>
          </w:tcPr>
          <w:p>
            <w:pPr>
              <w:jc w:val="right"/>
            </w:pPr>
            <w: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25,333,254.00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217.88</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25,333,254.00</w:t>
            </w:r>
          </w:p>
        </w:tc>
        <w:tc>
          <w:tcPr>
            <w:tcW w:w="1749" w:type="dxa"/>
            <w:shd w:val="clear" w:color="auto" w:fill="auto"/>
          </w:tcPr>
          <w:p>
            <w:pPr>
              <w:jc w:val="right"/>
            </w:pPr>
            <w:r>
              <w:t>100.00</w:t>
            </w:r>
          </w:p>
        </w:tc>
        <w:tc>
          <w:tcPr>
            <w:tcW w:w="1653" w:type="dxa"/>
          </w:tcPr>
          <w:p>
            <w:pPr>
              <w:jc w:val="right"/>
            </w:pPr>
            <w:r>
              <w:t>25,353,396.05</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szCs w:val="21"/>
        </w:rPr>
      </w:pPr>
      <w:bookmarkStart w:id="5" w:name="_GoBack"/>
      <w:bookmarkEnd w:id="5"/>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25,333,254.00</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财通资管鸿达纯债I</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901,842.64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22南浔交通PPN001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894,871.79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22青莱01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893,882.69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交银稳鑫短债A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892,968.37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20太湖01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787,153.37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22安吉D2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783,526.12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21南太湖</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710,681.80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19迈瑞01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695,683.42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21国债16</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681,793.84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财通资管鸿福短债C</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676,410.97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6F7D13DB"/>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2</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2022-10-26T00:59:41Z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