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hint="eastAsia" w:ascii="宋体" w:hAnsi="宋体"/>
          <w:b/>
          <w:bCs/>
          <w:sz w:val="48"/>
          <w:szCs w:val="30"/>
        </w:rPr>
        <w:t>德清农商银行丰收信福2022年第8期封闭净值型人民币理财产品</w:t>
      </w:r>
    </w:p>
    <w:p>
      <w:pPr>
        <w:jc w:val="center"/>
        <w:rPr>
          <w:rFonts w:ascii="宋体" w:hAnsi="宋体"/>
          <w:b/>
          <w:bCs/>
          <w:sz w:val="48"/>
          <w:szCs w:val="30"/>
        </w:rPr>
      </w:pPr>
      <w:r>
        <w:rPr>
          <w:rFonts w:ascii="宋体" w:hAnsi="宋体"/>
          <w:b/>
          <w:bCs/>
          <w:sz w:val="48"/>
          <w:szCs w:val="30"/>
        </w:rPr>
        <w:t>2022年第3季度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自2022-07-01起至2022-09-30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8</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21,400,000.00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4.08%/年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2022-07-01</w:t>
            </w:r>
            <w:r>
              <w:rPr>
                <w:rFonts w:hint="eastAsia" w:ascii="宋体" w:hAnsi="宋体"/>
              </w:rPr>
              <w:t>至</w:t>
            </w:r>
            <w:r>
              <w:rPr>
                <w:rFonts w:ascii="宋体" w:hAnsi="宋体"/>
              </w:rPr>
              <w:t>2022-09-30</w:t>
            </w:r>
            <w:r>
              <w:rPr>
                <w:rFonts w:hint="eastAsia" w:ascii="宋体" w:hAnsi="宋体"/>
              </w:rPr>
              <w:t>）</w:t>
            </w:r>
          </w:p>
        </w:tc>
        <w:tc>
          <w:tcPr>
            <w:tcW w:w="5103" w:type="dxa"/>
            <w:vAlign w:val="center"/>
          </w:tcPr>
          <w:p>
            <w:pPr>
              <w:jc w:val="right"/>
            </w:pPr>
            <w:r>
              <w:t>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3.43</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2022-07-01</w:t>
            </w:r>
            <w:r>
              <w:rPr>
                <w:rFonts w:hint="eastAsia"/>
                <w:b/>
              </w:rPr>
              <w:t xml:space="preserve">至 </w:t>
            </w:r>
            <w:r>
              <w:rPr>
                <w:b/>
              </w:rPr>
              <w:t>2022-09-30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-833.26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303,642.38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22,135,899.29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1.0343</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3,701,419.97</w:t>
            </w:r>
          </w:p>
        </w:tc>
        <w:tc>
          <w:tcPr>
            <w:tcW w:w="1705" w:type="dxa"/>
            <w:vAlign w:val="center"/>
          </w:tcPr>
          <w:p>
            <w:pPr>
              <w:jc w:val="right"/>
            </w:pPr>
            <w:r>
              <w:t>16.72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25,176,504.30</w:t>
            </w:r>
          </w:p>
        </w:tc>
        <w:tc>
          <w:tcPr>
            <w:tcW w:w="1705" w:type="dxa"/>
            <w:vAlign w:val="center"/>
          </w:tcPr>
          <w:p>
            <w:pPr>
              <w:jc w:val="right"/>
            </w:pPr>
            <w:r>
              <w:t>113.73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25,176,504.30</w:t>
            </w:r>
          </w:p>
        </w:tc>
        <w:tc>
          <w:tcPr>
            <w:tcW w:w="1705" w:type="dxa"/>
            <w:vAlign w:val="center"/>
          </w:tcPr>
          <w:p>
            <w:pPr>
              <w:jc w:val="right"/>
            </w:pPr>
            <w:r>
              <w:t>113.73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20,852.11</w:t>
            </w:r>
          </w:p>
        </w:tc>
        <w:tc>
          <w:tcPr>
            <w:tcW w:w="1705" w:type="dxa"/>
            <w:vAlign w:val="center"/>
          </w:tcPr>
          <w:p>
            <w:pPr>
              <w:jc w:val="right"/>
            </w:pPr>
            <w:r>
              <w:t>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251,008.39</w:t>
            </w:r>
          </w:p>
        </w:tc>
        <w:tc>
          <w:tcPr>
            <w:tcW w:w="1705" w:type="dxa"/>
            <w:vAlign w:val="center"/>
          </w:tcPr>
          <w:p>
            <w:pPr>
              <w:jc w:val="right"/>
            </w:pPr>
            <w: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22,138,000.56</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441.52</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22,138,000.56</w:t>
            </w:r>
          </w:p>
        </w:tc>
        <w:tc>
          <w:tcPr>
            <w:tcW w:w="1749" w:type="dxa"/>
            <w:shd w:val="clear" w:color="auto" w:fill="auto"/>
          </w:tcPr>
          <w:p>
            <w:pPr>
              <w:jc w:val="right"/>
            </w:pPr>
            <w:r>
              <w:t>100.00</w:t>
            </w:r>
          </w:p>
        </w:tc>
        <w:tc>
          <w:tcPr>
            <w:tcW w:w="1653" w:type="dxa"/>
          </w:tcPr>
          <w:p>
            <w:pPr>
              <w:jc w:val="right"/>
            </w:pPr>
            <w:r>
              <w:t>29,150,226.31</w:t>
            </w:r>
          </w:p>
        </w:tc>
        <w:tc>
          <w:tcPr>
            <w:tcW w:w="1705" w:type="dxa"/>
          </w:tcPr>
          <w:p>
            <w:pPr>
              <w:jc w:val="right"/>
            </w:pPr>
            <w:r>
              <w:t>131.68</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asciiTheme="minorEastAsia" w:hAnsiTheme="minorEastAsia" w:eastAsiaTheme="minorEastAsia"/>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bookmarkStart w:id="5" w:name="_GoBack"/>
      <w:bookmarkEnd w:id="5"/>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中信证券丰收信益4号集合资产管理计划</w:t>
            </w:r>
          </w:p>
        </w:tc>
        <w:tc>
          <w:tcPr>
            <w:tcW w:w="2693" w:type="dxa"/>
            <w:shd w:val="clear" w:color="auto" w:fill="auto"/>
            <w:vAlign w:val="center"/>
          </w:tcPr>
          <w:p>
            <w:pPr>
              <w:jc w:val="right"/>
            </w:pPr>
            <w:r>
              <w:t>22,138,000.56</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财通资管鸿运中短债债券A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847,491.47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财通资管鸿福短债债券A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678,546.15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华夏短债债券A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678,298.29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财通资管鸿达纯债债券A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678,227.79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21申证Y2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605,217.02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2.73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博时安盈债券A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580,447.40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522,527.12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22建行永续债01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508,050.10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22中交集MTN001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505,598.92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20诸交01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449,831.25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2.03</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6F1A215B"/>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2022-10-26T02:10:59Z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