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德清农商银行丰收喜悦月月赢2号28天定期开放式净值型理财产品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w:t>
            </w:r>
            <w:r>
              <w:rPr>
                <w:rFonts w:hint="eastAsia" w:ascii="宋体" w:hAnsi="宋体"/>
                <w:lang w:eastAsia="zh-CN"/>
              </w:rPr>
              <w:t>村</w:t>
            </w:r>
            <w:r>
              <w:rPr>
                <w:rFonts w:hint="eastAsia" w:ascii="宋体" w:hAnsi="宋体"/>
              </w:rPr>
              <w:t>商</w:t>
            </w:r>
            <w:r>
              <w:rPr>
                <w:rFonts w:hint="eastAsia" w:ascii="宋体" w:hAnsi="宋体"/>
                <w:lang w:eastAsia="zh-CN"/>
              </w:rPr>
              <w:t>业银</w:t>
            </w:r>
            <w:r>
              <w:rPr>
                <w:rFonts w:hint="eastAsia" w:ascii="宋体" w:hAnsi="宋体"/>
              </w:rPr>
              <w:t>行</w:t>
            </w:r>
            <w:r>
              <w:rPr>
                <w:rFonts w:hint="eastAsia" w:ascii="宋体" w:hAnsi="宋体"/>
                <w:lang w:eastAsia="zh-CN"/>
              </w:rPr>
              <w:t>股份有限公司“</w:t>
            </w:r>
            <w:r>
              <w:rPr>
                <w:rFonts w:hint="eastAsia" w:ascii="宋体" w:hAnsi="宋体"/>
              </w:rPr>
              <w:t>丰收喜悦</w:t>
            </w:r>
            <w:r>
              <w:rPr>
                <w:rFonts w:hint="eastAsia" w:ascii="宋体" w:hAnsi="宋体"/>
                <w:lang w:eastAsia="zh-CN"/>
              </w:rPr>
              <w:t>”</w:t>
            </w:r>
            <w:r>
              <w:rPr>
                <w:rFonts w:hint="eastAsia" w:ascii="宋体" w:hAnsi="宋体"/>
              </w:rPr>
              <w:t>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12,880,000.00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2.3</w:t>
            </w:r>
            <w:r>
              <w:rPr>
                <w:rFonts w:ascii="宋体" w:hAnsi="宋体"/>
              </w:rPr>
              <w:t>%-3.</w:t>
            </w:r>
            <w:r>
              <w:rPr>
                <w:rFonts w:hint="eastAsia" w:ascii="宋体" w:hAnsi="宋体"/>
                <w:lang w:val="en-US" w:eastAsia="zh-CN"/>
              </w:rPr>
              <w:t>5</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1.69</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122,961.80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113,319.80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12,888,403.36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1.0006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2,221,267.84</w:t>
            </w:r>
          </w:p>
        </w:tc>
        <w:tc>
          <w:tcPr>
            <w:tcW w:w="1705" w:type="dxa"/>
            <w:vAlign w:val="center"/>
          </w:tcPr>
          <w:p>
            <w:pPr>
              <w:jc w:val="right"/>
            </w:pPr>
            <w:r>
              <w:t>17.23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7,590,717.95</w:t>
            </w:r>
          </w:p>
        </w:tc>
        <w:tc>
          <w:tcPr>
            <w:tcW w:w="1705" w:type="dxa"/>
            <w:vAlign w:val="center"/>
          </w:tcPr>
          <w:p>
            <w:pPr>
              <w:jc w:val="right"/>
            </w:pPr>
            <w:r>
              <w:t>58.89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7,590,717.95</w:t>
            </w:r>
          </w:p>
        </w:tc>
        <w:tc>
          <w:tcPr>
            <w:tcW w:w="1705" w:type="dxa"/>
            <w:vAlign w:val="center"/>
          </w:tcPr>
          <w:p>
            <w:pPr>
              <w:jc w:val="right"/>
            </w:pPr>
            <w:r>
              <w:t>58.89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2,932,024.64</w:t>
            </w:r>
          </w:p>
        </w:tc>
        <w:tc>
          <w:tcPr>
            <w:tcW w:w="1705" w:type="dxa"/>
            <w:vAlign w:val="center"/>
          </w:tcPr>
          <w:p>
            <w:pPr>
              <w:jc w:val="right"/>
            </w:pPr>
            <w:r>
              <w:t>22.75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153,992.38</w:t>
            </w:r>
          </w:p>
        </w:tc>
        <w:tc>
          <w:tcPr>
            <w:tcW w:w="1705" w:type="dxa"/>
            <w:vAlign w:val="center"/>
          </w:tcPr>
          <w:p>
            <w:pPr>
              <w:jc w:val="right"/>
            </w:pPr>
            <w: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12,889,016.00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311.52</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12,889,016.00</w:t>
            </w:r>
          </w:p>
        </w:tc>
        <w:tc>
          <w:tcPr>
            <w:tcW w:w="1749" w:type="dxa"/>
            <w:shd w:val="clear" w:color="auto" w:fill="auto"/>
          </w:tcPr>
          <w:p>
            <w:pPr>
              <w:jc w:val="right"/>
            </w:pPr>
            <w:r>
              <w:t>100.00</w:t>
            </w:r>
          </w:p>
        </w:tc>
        <w:tc>
          <w:tcPr>
            <w:tcW w:w="1653" w:type="dxa"/>
          </w:tcPr>
          <w:p>
            <w:pPr>
              <w:jc w:val="right"/>
            </w:pPr>
            <w:r>
              <w:t>12,898,314.34</w:t>
            </w:r>
          </w:p>
        </w:tc>
        <w:tc>
          <w:tcPr>
            <w:tcW w:w="1705" w:type="dxa"/>
          </w:tcPr>
          <w:p>
            <w:pPr>
              <w:jc w:val="right"/>
            </w:pPr>
            <w:r>
              <w:t>100.07</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12,889,016.00</w:t>
            </w:r>
          </w:p>
        </w:tc>
        <w:tc>
          <w:tcPr>
            <w:tcW w:w="2431" w:type="dxa"/>
            <w:shd w:val="clear" w:color="auto" w:fill="auto"/>
            <w:vAlign w:val="center"/>
          </w:tcPr>
          <w:p>
            <w:pPr>
              <w:jc w:val="right"/>
            </w:pPr>
            <w:bookmarkStart w:id="3" w:name="OLE_LINK5"/>
            <w:bookmarkStart w:id="4" w:name="OLE_LINK6"/>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777"/>
        <w:gridCol w:w="3159"/>
        <w:gridCol w:w="2693"/>
        <w:gridCol w:w="2431"/>
      </w:tblGrid>
      <w:tr>
        <w:tblPrEx>
          <w:tblLayout w:type="fixed"/>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R1M</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686,339.76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5.33</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华泰紫金货币增利B</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681,191.98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5.29</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21国债10</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641,356.74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4.98</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20太湖01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602,034.83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4.67</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债券质押协议回购1247</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596,098.59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4.63</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21创鸿D2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533,876.80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4.14</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21安控D2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530,065.13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21南太湖</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525,324.27</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4.08</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19迈瑞01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516,782.58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财通资管鸿达纯债I</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515,181.10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4.00</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86898"/>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18B4"/>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47CD8"/>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31F6C0C"/>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47855E-5998-4C99-A3ED-06E0A580DECF}">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328</Words>
  <Characters>1871</Characters>
  <Lines>15</Lines>
  <Paragraphs>4</Paragraphs>
  <TotalTime>0</TotalTime>
  <ScaleCrop>false</ScaleCrop>
  <LinksUpToDate>false</LinksUpToDate>
  <CharactersWithSpaces>2195</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2022-08-08T08:58:54Z</dcterms:modified>
  <dc:title>gongGaoMingCheng</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