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德清农商银行丰收信福2022年第</w:t>
      </w:r>
      <w:r>
        <w:rPr>
          <w:rFonts w:hint="eastAsia" w:ascii="宋体" w:hAnsi="宋体"/>
          <w:b/>
          <w:bCs/>
          <w:sz w:val="48"/>
          <w:szCs w:val="30"/>
          <w:lang w:val="en-US" w:eastAsia="zh-CN"/>
        </w:rPr>
        <w:t>13</w:t>
      </w:r>
      <w:r>
        <w:rPr>
          <w:rFonts w:hint="eastAsia" w:ascii="宋体" w:hAnsi="宋体"/>
          <w:b/>
          <w:bCs/>
          <w:sz w:val="48"/>
          <w:szCs w:val="30"/>
        </w:rPr>
        <w:t>期</w:t>
      </w:r>
    </w:p>
    <w:p>
      <w:pPr>
        <w:jc w:val="center"/>
        <w:rPr>
          <w:rFonts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48"/>
          <w:szCs w:val="30"/>
        </w:rPr>
      </w:pPr>
      <w:r>
        <w:rPr>
          <w:rFonts w:ascii="宋体" w:hAnsi="宋体"/>
          <w:b/>
          <w:bCs/>
          <w:sz w:val="48"/>
          <w:szCs w:val="30"/>
        </w:rPr>
        <w:t>2022年第2季度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自2022-04-01起至2022-06-30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13</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2022-11-15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22,580,000.00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4.05%/年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2022-04-01</w:t>
            </w:r>
            <w:r>
              <w:rPr>
                <w:rFonts w:hint="eastAsia" w:ascii="宋体" w:hAnsi="宋体"/>
              </w:rPr>
              <w:t>至</w:t>
            </w:r>
            <w:r>
              <w:rPr>
                <w:rFonts w:ascii="宋体" w:hAnsi="宋体"/>
              </w:rPr>
              <w:t>2022-06-30</w:t>
            </w:r>
            <w:r>
              <w:rPr>
                <w:rFonts w:hint="eastAsia" w:ascii="宋体" w:hAnsi="宋体"/>
              </w:rPr>
              <w:t>）</w:t>
            </w:r>
          </w:p>
        </w:tc>
        <w:tc>
          <w:tcPr>
            <w:tcW w:w="5103" w:type="dxa"/>
            <w:vAlign w:val="center"/>
          </w:tcPr>
          <w:p>
            <w:pPr>
              <w:jc w:val="right"/>
            </w:pPr>
            <w: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2.14</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2022-04-01</w:t>
            </w:r>
            <w:r>
              <w:rPr>
                <w:rFonts w:hint="eastAsia"/>
                <w:b/>
              </w:rPr>
              <w:t xml:space="preserve">至 </w:t>
            </w:r>
            <w:r>
              <w:rPr>
                <w:b/>
              </w:rPr>
              <w:t>2022-06-30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-853.95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451,553.16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23,065,184.04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1.0214</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1,102,834.97</w:t>
            </w:r>
          </w:p>
        </w:tc>
        <w:tc>
          <w:tcPr>
            <w:tcW w:w="1705" w:type="dxa"/>
            <w:vAlign w:val="center"/>
          </w:tcPr>
          <w:p>
            <w:pPr>
              <w:jc w:val="right"/>
            </w:pPr>
            <w:r>
              <w:t>4.78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22,960,164.73</w:t>
            </w:r>
          </w:p>
        </w:tc>
        <w:tc>
          <w:tcPr>
            <w:tcW w:w="1705" w:type="dxa"/>
            <w:vAlign w:val="center"/>
          </w:tcPr>
          <w:p>
            <w:pPr>
              <w:jc w:val="right"/>
            </w:pPr>
            <w:r>
              <w:t>99.54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22,376,022.63</w:t>
            </w:r>
          </w:p>
        </w:tc>
        <w:tc>
          <w:tcPr>
            <w:tcW w:w="1705" w:type="dxa"/>
            <w:vAlign w:val="center"/>
          </w:tcPr>
          <w:p>
            <w:pPr>
              <w:jc w:val="right"/>
            </w:pPr>
            <w:r>
              <w:t>97.01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584,142.09</w:t>
            </w:r>
          </w:p>
        </w:tc>
        <w:tc>
          <w:tcPr>
            <w:tcW w:w="1705" w:type="dxa"/>
            <w:vAlign w:val="center"/>
          </w:tcPr>
          <w:p>
            <w:pPr>
              <w:jc w:val="right"/>
            </w:pPr>
            <w:r>
              <w:t>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302,087.71</w:t>
            </w:r>
          </w:p>
        </w:tc>
        <w:tc>
          <w:tcPr>
            <w:tcW w:w="1705" w:type="dxa"/>
            <w:vAlign w:val="center"/>
          </w:tcPr>
          <w:p>
            <w:pPr>
              <w:jc w:val="right"/>
            </w:pPr>
            <w:r>
              <w:t>1.31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23,066,390.74</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1,266,213.57</w:t>
            </w:r>
          </w:p>
        </w:tc>
        <w:tc>
          <w:tcPr>
            <w:tcW w:w="1705" w:type="dxa"/>
            <w:vAlign w:val="center"/>
          </w:tcPr>
          <w:p>
            <w:pPr>
              <w:jc w:val="right"/>
            </w:pPr>
            <w:r>
              <w:t>5.49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23,066,390.74</w:t>
            </w:r>
          </w:p>
        </w:tc>
        <w:tc>
          <w:tcPr>
            <w:tcW w:w="1749" w:type="dxa"/>
            <w:shd w:val="clear" w:color="auto" w:fill="auto"/>
          </w:tcPr>
          <w:p>
            <w:pPr>
              <w:jc w:val="right"/>
            </w:pPr>
            <w:r>
              <w:t>100.00</w:t>
            </w:r>
          </w:p>
        </w:tc>
        <w:tc>
          <w:tcPr>
            <w:tcW w:w="1653" w:type="dxa"/>
          </w:tcPr>
          <w:p>
            <w:pPr>
              <w:jc w:val="right"/>
            </w:pPr>
            <w:r>
              <w:t>25,631,300.97</w:t>
            </w:r>
          </w:p>
        </w:tc>
        <w:tc>
          <w:tcPr>
            <w:tcW w:w="1705" w:type="dxa"/>
          </w:tcPr>
          <w:p>
            <w:pPr>
              <w:jc w:val="right"/>
            </w:pPr>
            <w:r>
              <w:t>111.12</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宋体" w:hAnsi="宋体"/>
          <w:sz w:val="24"/>
        </w:rPr>
      </w:pPr>
      <w:r>
        <w:rPr>
          <w:rFonts w:hint="eastAsia" w:ascii="宋体" w:hAnsi="宋体"/>
          <w:sz w:val="24"/>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widowControl/>
        <w:ind w:firstLine="480" w:firstLineChars="200"/>
        <w:jc w:val="left"/>
        <w:rPr>
          <w:rFonts w:ascii="宋体" w:hAnsi="宋体"/>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p>
    <w:p>
      <w:pPr>
        <w:widowControl/>
        <w:jc w:val="left"/>
        <w:rPr>
          <w:rFonts w:ascii="宋体" w:hAnsi="宋体"/>
          <w:sz w:val="24"/>
        </w:rPr>
      </w:pPr>
      <w:bookmarkStart w:id="5" w:name="_GoBack"/>
      <w:bookmarkEnd w:id="5"/>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中信证券丰收信益3号集合资产管理计划</w:t>
            </w:r>
          </w:p>
        </w:tc>
        <w:tc>
          <w:tcPr>
            <w:tcW w:w="2693" w:type="dxa"/>
            <w:shd w:val="clear" w:color="auto" w:fill="auto"/>
            <w:vAlign w:val="center"/>
          </w:tcPr>
          <w:p>
            <w:pPr>
              <w:jc w:val="right"/>
            </w:pPr>
            <w:r>
              <w:t>23,066,390.74</w:t>
            </w:r>
          </w:p>
        </w:tc>
        <w:tc>
          <w:tcPr>
            <w:tcW w:w="2431" w:type="dxa"/>
            <w:shd w:val="clear" w:color="auto" w:fill="auto"/>
            <w:vAlign w:val="center"/>
          </w:tcPr>
          <w:p>
            <w:pPr>
              <w:jc w:val="right"/>
            </w:pPr>
            <w:bookmarkStart w:id="3" w:name="OLE_LINK5"/>
            <w:bookmarkStart w:id="4" w:name="OLE_LINK6"/>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22中泰02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622,767.87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2.70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21五冶集ABN001优先</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521,249.80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22沪电02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516,546.86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财通资管鸿福短债债券A</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515,569.03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22铁建Y1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513,838.67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19即墨01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432,241.38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21湘路08</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423,794.60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21诸资01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423,015.15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21苏新国资MTN005</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422,874.30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21湖交投</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422,111.95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1.83</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1D1E00D2"/>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uiPriority w:val="0"/>
    <w:rPr>
      <w:sz w:val="21"/>
      <w:szCs w:val="21"/>
    </w:rPr>
  </w:style>
  <w:style w:type="character" w:styleId="22">
    <w:name w:val="footnote reference"/>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uiPriority w:val="9"/>
    <w:rPr>
      <w:rFonts w:ascii="Cambria" w:hAnsi="Cambria" w:eastAsia="宋体" w:cs="Times New Roman"/>
      <w:b/>
      <w:bCs/>
      <w:sz w:val="32"/>
      <w:szCs w:val="32"/>
    </w:rPr>
  </w:style>
  <w:style w:type="character" w:customStyle="1" w:styleId="28">
    <w:name w:val="标题 Char"/>
    <w:link w:val="15"/>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0</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2022-08-08T07:28:25Z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