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20</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28"/>
          <w:szCs w:val="30"/>
        </w:rPr>
      </w:pPr>
      <w:r>
        <w:rPr>
          <w:rFonts w:hint="eastAsia" w:ascii="宋体" w:hAnsi="宋体"/>
          <w:b/>
          <w:bCs/>
          <w:sz w:val="48"/>
          <w:szCs w:val="30"/>
        </w:rPr>
        <w:t>2022年半年度报告</w:t>
      </w: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自2022-03-17起至2022-06-30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20</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11,570,000.00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2022-03-17</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2.14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2022-03-17</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-504.18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247,610.95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11,817,610.95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565,039.88</w:t>
            </w:r>
          </w:p>
        </w:tc>
        <w:tc>
          <w:tcPr>
            <w:tcW w:w="1705" w:type="dxa"/>
            <w:vAlign w:val="center"/>
          </w:tcPr>
          <w:p>
            <w:pPr>
              <w:jc w:val="right"/>
            </w:pPr>
            <w: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11,763,690.00</w:t>
            </w:r>
          </w:p>
        </w:tc>
        <w:tc>
          <w:tcPr>
            <w:tcW w:w="1705" w:type="dxa"/>
            <w:vAlign w:val="center"/>
          </w:tcPr>
          <w:p>
            <w:pPr>
              <w:jc w:val="right"/>
            </w:pPr>
            <w:r>
              <w:t>99.54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11,464,403.54</w:t>
            </w:r>
          </w:p>
        </w:tc>
        <w:tc>
          <w:tcPr>
            <w:tcW w:w="1705" w:type="dxa"/>
            <w:vAlign w:val="center"/>
          </w:tcPr>
          <w:p>
            <w:pPr>
              <w:jc w:val="right"/>
            </w:pPr>
            <w:r>
              <w:t>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299,286.46</w:t>
            </w:r>
          </w:p>
        </w:tc>
        <w:tc>
          <w:tcPr>
            <w:tcW w:w="1705" w:type="dxa"/>
            <w:vAlign w:val="center"/>
          </w:tcPr>
          <w:p>
            <w:pPr>
              <w:jc w:val="right"/>
            </w:pPr>
            <w: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154,775.29</w:t>
            </w:r>
          </w:p>
        </w:tc>
        <w:tc>
          <w:tcPr>
            <w:tcW w:w="1705" w:type="dxa"/>
            <w:vAlign w:val="center"/>
          </w:tcPr>
          <w:p>
            <w:pPr>
              <w:jc w:val="right"/>
            </w:pPr>
            <w: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11,818,115.13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648,747.26</w:t>
            </w:r>
          </w:p>
        </w:tc>
        <w:tc>
          <w:tcPr>
            <w:tcW w:w="1705" w:type="dxa"/>
            <w:vAlign w:val="center"/>
          </w:tcPr>
          <w:p>
            <w:pPr>
              <w:jc w:val="right"/>
            </w:pPr>
            <w: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11,818,115.13</w:t>
            </w:r>
          </w:p>
        </w:tc>
        <w:tc>
          <w:tcPr>
            <w:tcW w:w="1749" w:type="dxa"/>
            <w:shd w:val="clear" w:color="auto" w:fill="auto"/>
          </w:tcPr>
          <w:p>
            <w:pPr>
              <w:jc w:val="right"/>
            </w:pPr>
            <w:r>
              <w:t>100.00</w:t>
            </w:r>
          </w:p>
        </w:tc>
        <w:tc>
          <w:tcPr>
            <w:tcW w:w="1653" w:type="dxa"/>
          </w:tcPr>
          <w:p>
            <w:pPr>
              <w:jc w:val="right"/>
            </w:pPr>
            <w:r>
              <w:t>13,132,252.43</w:t>
            </w:r>
          </w:p>
        </w:tc>
        <w:tc>
          <w:tcPr>
            <w:tcW w:w="1705" w:type="dxa"/>
          </w:tcPr>
          <w:p>
            <w:pPr>
              <w:jc w:val="right"/>
            </w:pPr>
            <w:r>
              <w:t>111.12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bookmarkStart w:id="5" w:name="_GoBack"/>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bookmarkEnd w:id="5"/>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11,818,115.13</w:t>
            </w:r>
          </w:p>
        </w:tc>
        <w:tc>
          <w:tcPr>
            <w:tcW w:w="2431" w:type="dxa"/>
            <w:shd w:val="clear" w:color="auto" w:fill="auto"/>
            <w:vAlign w:val="center"/>
          </w:tcPr>
          <w:p>
            <w:pPr>
              <w:jc w:val="right"/>
            </w:pPr>
            <w:bookmarkStart w:id="3" w:name="OLE_LINK6"/>
            <w:bookmarkStart w:id="4" w:name="OLE_LINK5"/>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319,076.46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21五冶集ABN001优先</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267,063.46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264,653.90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264,152.90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263,266.35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221,459.81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21湘路08</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217,132.08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216,732.72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216,660.56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216,269.97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49236991"/>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2022-08-08T06:30:12Z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