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德清农商银行丰收喜悦月月赢</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号28天定开净值型理财产品</w:t>
      </w:r>
    </w:p>
    <w:p>
      <w:pPr>
        <w:jc w:val="center"/>
      </w:pPr>
      <w:r>
        <w:rPr>
          <w:rFonts w:hint="eastAsia" w:ascii="黑体" w:hAnsi="Times New Roman" w:eastAsia="黑体"/>
          <w:b/>
          <w:sz w:val="44"/>
          <w:szCs w:val="48"/>
        </w:rPr>
        <w:t>2023年第一季度报告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自2023-01-01起至2023-03-31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22,070,000.00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102.21%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lang w:val="en-US"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lang w:val="en-US"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2023-01-01</w:t>
            </w:r>
            <w:r>
              <w:rPr>
                <w:rFonts w:hint="eastAsia" w:ascii="宋体" w:hAnsi="宋体"/>
              </w:rPr>
              <w:t>至</w:t>
            </w:r>
            <w:r>
              <w:rPr>
                <w:rFonts w:ascii="宋体" w:hAnsi="宋体"/>
              </w:rPr>
              <w:t>2023-03-31</w:t>
            </w:r>
            <w:r>
              <w:rPr>
                <w:rFonts w:hint="eastAsia" w:ascii="宋体" w:hAnsi="宋体"/>
              </w:rPr>
              <w:t>）</w:t>
            </w:r>
          </w:p>
        </w:tc>
        <w:tc>
          <w:tcPr>
            <w:tcW w:w="5103" w:type="dxa"/>
            <w:vAlign w:val="center"/>
          </w:tcPr>
          <w:p>
            <w:pPr>
              <w:jc w:val="right"/>
            </w:pPr>
            <w: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4.30</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2023-01-01</w:t>
            </w:r>
            <w:r>
              <w:rPr>
                <w:rFonts w:hint="eastAsia"/>
                <w:b/>
              </w:rPr>
              <w:t xml:space="preserve">至 </w:t>
            </w:r>
            <w:r>
              <w:rPr>
                <w:b/>
              </w:rPr>
              <w:t>2023-03-31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240,500.27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213,532.27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22,074,155.88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1.0001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3,504,944.32</w:t>
            </w:r>
          </w:p>
        </w:tc>
        <w:tc>
          <w:tcPr>
            <w:tcW w:w="1705" w:type="dxa"/>
            <w:vAlign w:val="center"/>
          </w:tcPr>
          <w:p>
            <w:pPr>
              <w:jc w:val="right"/>
            </w:pPr>
            <w:r>
              <w:t>15.88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5,325,564.32</w:t>
            </w:r>
          </w:p>
        </w:tc>
        <w:tc>
          <w:tcPr>
            <w:tcW w:w="1705" w:type="dxa"/>
            <w:vAlign w:val="center"/>
          </w:tcPr>
          <w:p>
            <w:pPr>
              <w:jc w:val="right"/>
            </w:pPr>
            <w:r>
              <w:t>24.13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5,325,564.32</w:t>
            </w:r>
          </w:p>
        </w:tc>
        <w:tc>
          <w:tcPr>
            <w:tcW w:w="1705" w:type="dxa"/>
            <w:vAlign w:val="center"/>
          </w:tcPr>
          <w:p>
            <w:pPr>
              <w:jc w:val="right"/>
            </w:pPr>
            <w:r>
              <w:t>24.13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12,646,352.80</w:t>
            </w:r>
          </w:p>
        </w:tc>
        <w:tc>
          <w:tcPr>
            <w:tcW w:w="1705" w:type="dxa"/>
            <w:vAlign w:val="center"/>
          </w:tcPr>
          <w:p>
            <w:pPr>
              <w:jc w:val="right"/>
            </w:pPr>
            <w:r>
              <w:t>57.29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1,085,636.09</w:t>
            </w:r>
          </w:p>
        </w:tc>
        <w:tc>
          <w:tcPr>
            <w:tcW w:w="1705" w:type="dxa"/>
            <w:vAlign w:val="center"/>
          </w:tcPr>
          <w:p>
            <w:pPr>
              <w:jc w:val="right"/>
            </w:pPr>
            <w: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22,074,414.00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180.48</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22,074,414.00</w:t>
            </w:r>
          </w:p>
        </w:tc>
        <w:tc>
          <w:tcPr>
            <w:tcW w:w="1749" w:type="dxa"/>
            <w:shd w:val="clear" w:color="auto" w:fill="auto"/>
          </w:tcPr>
          <w:p>
            <w:pPr>
              <w:jc w:val="right"/>
            </w:pPr>
            <w:r>
              <w:t>100.00</w:t>
            </w:r>
          </w:p>
        </w:tc>
        <w:tc>
          <w:tcPr>
            <w:tcW w:w="1653" w:type="dxa"/>
          </w:tcPr>
          <w:p>
            <w:pPr>
              <w:jc w:val="right"/>
            </w:pPr>
            <w:r>
              <w:t>22,562,678.00</w:t>
            </w:r>
          </w:p>
        </w:tc>
        <w:tc>
          <w:tcPr>
            <w:tcW w:w="1705" w:type="dxa"/>
          </w:tcPr>
          <w:p>
            <w:pPr>
              <w:jc w:val="right"/>
            </w:pPr>
            <w:r>
              <w:t>102.21</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22,074,414.00</w:t>
            </w:r>
          </w:p>
        </w:tc>
        <w:tc>
          <w:tcPr>
            <w:tcW w:w="2431" w:type="dxa"/>
            <w:shd w:val="clear" w:color="auto" w:fill="auto"/>
            <w:vAlign w:val="center"/>
          </w:tcPr>
          <w:p>
            <w:pPr>
              <w:jc w:val="right"/>
            </w:pPr>
            <w:bookmarkStart w:id="3" w:name="OLE_LINK6"/>
            <w:bookmarkStart w:id="4" w:name="OLE_LINK5"/>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20如皋02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1,343,759.86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6.09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债券质押协议回购19716</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1,339,253.40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6.07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东兴兴利C</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959,941.70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东证融汇添添益中短债A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953,806.94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渤海汇金汇添金B</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953,396.97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793,564.04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债券质押协议回购12481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722,410.37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债券质押协议回购6774</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698,680.74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财通资管鸿运中短债E</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637,798.71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债券质押协议回购6771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635,164.31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2.88</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2023-04-</w:t>
      </w:r>
      <w:r>
        <w:rPr>
          <w:rFonts w:hint="eastAsia" w:ascii="宋体" w:hAnsi="宋体"/>
          <w:sz w:val="28"/>
          <w:szCs w:val="28"/>
          <w:lang w:val="en-US" w:eastAsia="zh-CN"/>
        </w:rPr>
        <w:t>20</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7364D7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2023-04-23T03:21:00Z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