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黑体" w:hAnsi="宋体" w:eastAsia="黑体"/>
          <w:b/>
          <w:bCs/>
          <w:color w:val="000000"/>
          <w:sz w:val="48"/>
          <w:szCs w:val="48"/>
        </w:rPr>
      </w:pPr>
      <w:r>
        <w:rPr>
          <w:rFonts w:hint="eastAsia" w:ascii="黑体" w:hAnsi="宋体" w:eastAsia="黑体"/>
          <w:b/>
          <w:bCs/>
          <w:color w:val="000000"/>
          <w:sz w:val="48"/>
          <w:szCs w:val="48"/>
        </w:rPr>
        <w:t>德清农商银行丰收信福2022年第</w:t>
      </w:r>
      <w:r>
        <w:rPr>
          <w:rFonts w:hint="eastAsia" w:ascii="黑体" w:hAnsi="宋体" w:eastAsia="黑体"/>
          <w:b/>
          <w:bCs/>
          <w:color w:val="000000"/>
          <w:sz w:val="48"/>
          <w:szCs w:val="48"/>
          <w:lang w:val="en-US" w:eastAsia="zh-CN"/>
        </w:rPr>
        <w:t>79</w:t>
      </w:r>
      <w:r>
        <w:rPr>
          <w:rFonts w:hint="eastAsia" w:ascii="黑体" w:hAnsi="宋体" w:eastAsia="黑体"/>
          <w:b/>
          <w:bCs/>
          <w:color w:val="000000"/>
          <w:sz w:val="48"/>
          <w:szCs w:val="48"/>
        </w:rPr>
        <w:t>期封闭净值型人民币理财产品</w:t>
      </w:r>
    </w:p>
    <w:p>
      <w:pPr>
        <w:jc w:val="center"/>
        <w:rPr>
          <w:rFonts w:ascii="宋体" w:hAnsi="宋体"/>
          <w:b/>
          <w:bCs/>
          <w:sz w:val="48"/>
          <w:szCs w:val="30"/>
        </w:rPr>
      </w:pPr>
      <w:r>
        <w:rPr>
          <w:rFonts w:ascii="宋体" w:hAnsi="宋体"/>
          <w:b/>
          <w:bCs/>
          <w:sz w:val="48"/>
          <w:szCs w:val="30"/>
        </w:rPr>
        <w:t>2023年第1季度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自2023-01-01起至2023-03-31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浙江德清农村商业银行股份有限公司“丰收信福”2022年第</w:t>
            </w:r>
            <w:r>
              <w:rPr>
                <w:rFonts w:hint="eastAsia" w:ascii="宋体" w:hAnsi="宋体"/>
                <w:lang w:val="en-US" w:eastAsia="zh-CN"/>
              </w:rPr>
              <w:t>79</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2022-11-17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33,200,000.00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[3.7%-3.8%]/年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rPr>
                <w:rFonts w:hint="eastAsia"/>
                <w:lang w:val="en-US" w:eastAsia="zh-CN"/>
              </w:rPr>
              <w:t>128.66%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ascii="宋体" w:hAnsi="宋体"/>
                <w:lang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ascii="宋体" w:hAnsi="宋体"/>
                <w:lang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2023-01-01</w:t>
            </w:r>
            <w:r>
              <w:rPr>
                <w:rFonts w:hint="eastAsia" w:ascii="宋体" w:hAnsi="宋体"/>
              </w:rPr>
              <w:t>至</w:t>
            </w:r>
            <w:r>
              <w:rPr>
                <w:rFonts w:ascii="宋体" w:hAnsi="宋体"/>
              </w:rPr>
              <w:t>2023-03-31</w:t>
            </w:r>
            <w:r>
              <w:rPr>
                <w:rFonts w:hint="eastAsia" w:ascii="宋体" w:hAnsi="宋体"/>
              </w:rPr>
              <w:t>）</w:t>
            </w:r>
          </w:p>
        </w:tc>
        <w:tc>
          <w:tcPr>
            <w:tcW w:w="5103" w:type="dxa"/>
            <w:vAlign w:val="center"/>
          </w:tcPr>
          <w:p>
            <w:pPr>
              <w:jc w:val="right"/>
            </w:pPr>
            <w: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0.97</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2023-01-01</w:t>
            </w:r>
            <w:r>
              <w:rPr>
                <w:rFonts w:hint="eastAsia"/>
                <w:b/>
              </w:rPr>
              <w:t xml:space="preserve">至 </w:t>
            </w:r>
            <w:r>
              <w:rPr>
                <w:b/>
              </w:rPr>
              <w:t>2023-03-31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-1,227.59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625,187.51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33,525,001.56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1.0097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42,774,120.87</w:t>
            </w:r>
          </w:p>
        </w:tc>
        <w:tc>
          <w:tcPr>
            <w:tcW w:w="1705" w:type="dxa"/>
            <w:vAlign w:val="center"/>
          </w:tcPr>
          <w:p>
            <w:pPr>
              <w:jc w:val="right"/>
            </w:pPr>
            <w:r>
              <w:t>127.58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42,774,120.87</w:t>
            </w:r>
          </w:p>
        </w:tc>
        <w:tc>
          <w:tcPr>
            <w:tcW w:w="1705" w:type="dxa"/>
            <w:vAlign w:val="center"/>
          </w:tcPr>
          <w:p>
            <w:pPr>
              <w:jc w:val="right"/>
            </w:pPr>
            <w:r>
              <w:t>127.58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362,862.60</w:t>
            </w:r>
          </w:p>
        </w:tc>
        <w:tc>
          <w:tcPr>
            <w:tcW w:w="1705" w:type="dxa"/>
            <w:vAlign w:val="center"/>
          </w:tcPr>
          <w:p>
            <w:pPr>
              <w:jc w:val="right"/>
            </w:pPr>
            <w: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33,526,825.27</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301.57</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33,526,825.27</w:t>
            </w:r>
          </w:p>
        </w:tc>
        <w:tc>
          <w:tcPr>
            <w:tcW w:w="1749" w:type="dxa"/>
            <w:shd w:val="clear" w:color="auto" w:fill="auto"/>
          </w:tcPr>
          <w:p>
            <w:pPr>
              <w:jc w:val="right"/>
            </w:pPr>
            <w:r>
              <w:t>100.00</w:t>
            </w:r>
          </w:p>
        </w:tc>
        <w:tc>
          <w:tcPr>
            <w:tcW w:w="1653" w:type="dxa"/>
          </w:tcPr>
          <w:p>
            <w:pPr>
              <w:jc w:val="right"/>
            </w:pPr>
            <w:r>
              <w:t>43,137,285.03</w:t>
            </w:r>
          </w:p>
        </w:tc>
        <w:tc>
          <w:tcPr>
            <w:tcW w:w="1705" w:type="dxa"/>
          </w:tcPr>
          <w:p>
            <w:pPr>
              <w:jc w:val="right"/>
            </w:pPr>
            <w:r>
              <w:t>128.66</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宋体" w:hAnsi="宋体" w:eastAsia="宋体"/>
          <w:szCs w:val="21"/>
        </w:rPr>
      </w:pPr>
      <w:r>
        <w:rPr>
          <w:rFonts w:hint="eastAsia" w:ascii="宋体" w:hAnsi="宋体" w:eastAsia="宋体"/>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宋体" w:hAnsi="宋体" w:eastAsia="宋体"/>
          <w:sz w:val="24"/>
        </w:rPr>
      </w:pPr>
      <w:r>
        <w:rPr>
          <w:rFonts w:hint="eastAsia" w:ascii="宋体" w:hAnsi="宋体" w:eastAsia="宋体"/>
          <w:szCs w:val="21"/>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ind w:firstLine="420" w:firstLineChars="200"/>
        <w:jc w:val="left"/>
        <w:rPr>
          <w:rFonts w:ascii="宋体" w:hAnsi="宋体"/>
          <w:sz w:val="24"/>
        </w:rPr>
      </w:pPr>
      <w:r>
        <w:rPr>
          <w:rFonts w:hint="eastAsia" w:ascii="宋体" w:hAnsi="宋体" w:eastAsia="宋体"/>
          <w:szCs w:val="21"/>
          <w:lang w:eastAsia="zh-CN"/>
        </w:rPr>
        <w:t>报告期内，本产品未发生重大流动性风险事件。</w:t>
      </w: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中信证券丰收信益3号集合资产管理计划</w:t>
            </w:r>
          </w:p>
        </w:tc>
        <w:tc>
          <w:tcPr>
            <w:tcW w:w="2693" w:type="dxa"/>
            <w:shd w:val="clear" w:color="auto" w:fill="auto"/>
            <w:vAlign w:val="center"/>
          </w:tcPr>
          <w:p>
            <w:pPr>
              <w:jc w:val="right"/>
            </w:pPr>
            <w:r>
              <w:t>33,526,825.27</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交筑YK01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1,052,047.64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3.14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22铁建Y1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900,137.12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21江科01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898,329.43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21科城01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887,561.35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22中电投MTN026</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880,404.78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22首农食品MTN001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876,472.10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21湖交投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742,480.89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19即墨01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727,575.27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20玉城01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722,850.29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21苏新国资MTN005</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717,503.14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2.14</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bookmarkStart w:id="5" w:name="_GoBack"/>
      <w:bookmarkEnd w:id="5"/>
    </w:p>
    <w:p>
      <w:pPr>
        <w:jc w:val="right"/>
        <w:rPr>
          <w:rFonts w:ascii="宋体" w:hAnsi="宋体"/>
          <w:sz w:val="28"/>
          <w:szCs w:val="28"/>
        </w:rPr>
      </w:pPr>
      <w:r>
        <w:rPr>
          <w:rFonts w:ascii="宋体" w:hAnsi="宋体"/>
          <w:sz w:val="28"/>
          <w:szCs w:val="28"/>
        </w:rPr>
        <w:t>2023-04-</w:t>
      </w:r>
      <w:r>
        <w:rPr>
          <w:rFonts w:hint="eastAsia" w:ascii="宋体" w:hAnsi="宋体"/>
          <w:sz w:val="28"/>
          <w:szCs w:val="28"/>
          <w:lang w:val="en-US" w:eastAsia="zh-CN"/>
        </w:rPr>
        <w:t>20</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225E061B"/>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2023-04-23T07:30:21Z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