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黑体" w:hAnsi="宋体" w:eastAsia="黑体"/>
          <w:b/>
          <w:bCs/>
          <w:color w:val="000000"/>
          <w:sz w:val="48"/>
          <w:szCs w:val="48"/>
        </w:rPr>
      </w:pPr>
      <w:r>
        <w:rPr>
          <w:rFonts w:hint="eastAsia" w:ascii="黑体" w:hAnsi="宋体" w:eastAsia="黑体"/>
          <w:b/>
          <w:bCs/>
          <w:color w:val="000000"/>
          <w:sz w:val="48"/>
          <w:szCs w:val="48"/>
        </w:rPr>
        <w:t>德清农商银行丰收信福2022年第</w:t>
      </w:r>
      <w:r>
        <w:rPr>
          <w:rFonts w:hint="eastAsia" w:ascii="黑体" w:hAnsi="宋体" w:eastAsia="黑体"/>
          <w:b/>
          <w:bCs/>
          <w:color w:val="000000"/>
          <w:sz w:val="48"/>
          <w:szCs w:val="48"/>
          <w:lang w:val="en-US" w:eastAsia="zh-CN"/>
        </w:rPr>
        <w:t>77</w:t>
      </w:r>
      <w:r>
        <w:rPr>
          <w:rFonts w:hint="eastAsia" w:ascii="黑体" w:hAnsi="宋体" w:eastAsia="黑体"/>
          <w:b/>
          <w:bCs/>
          <w:color w:val="000000"/>
          <w:sz w:val="48"/>
          <w:szCs w:val="48"/>
        </w:rPr>
        <w:t>期封闭净值型人民币理财产品</w:t>
      </w:r>
    </w:p>
    <w:p>
      <w:pPr>
        <w:jc w:val="center"/>
        <w:rPr>
          <w:rFonts w:ascii="宋体" w:hAnsi="宋体"/>
          <w:b/>
          <w:bCs/>
          <w:sz w:val="48"/>
          <w:szCs w:val="30"/>
        </w:rPr>
      </w:pPr>
      <w:r>
        <w:rPr>
          <w:rFonts w:ascii="宋体" w:hAnsi="宋体"/>
          <w:b/>
          <w:bCs/>
          <w:sz w:val="48"/>
          <w:szCs w:val="30"/>
        </w:rPr>
        <w:t>2023年第1季度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77</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公募封闭式净值型银行理财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14,990,000.00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[3.7%-3.8%]/年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128.66%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ascii="宋体" w:hAnsi="宋体"/>
                <w:lang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ascii="宋体" w:hAnsi="宋体"/>
                <w:lang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2023-03-31</w:t>
            </w:r>
            <w:r>
              <w:rPr>
                <w:rFonts w:hint="eastAsia" w:ascii="宋体" w:hAnsi="宋体"/>
              </w:rPr>
              <w:t>）</w:t>
            </w:r>
          </w:p>
        </w:tc>
        <w:tc>
          <w:tcPr>
            <w:tcW w:w="5103" w:type="dxa"/>
            <w:vAlign w:val="center"/>
          </w:tcPr>
          <w:p>
            <w:pPr>
              <w:jc w:val="right"/>
            </w:pPr>
            <w: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0.14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-549.67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279,953.86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15,012,176.87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19,153,899.42</w:t>
            </w:r>
          </w:p>
        </w:tc>
        <w:tc>
          <w:tcPr>
            <w:tcW w:w="1705" w:type="dxa"/>
            <w:vAlign w:val="center"/>
          </w:tcPr>
          <w:p>
            <w:pPr>
              <w:jc w:val="right"/>
            </w:pPr>
            <w:r>
              <w:t>127.58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19,153,899.42</w:t>
            </w:r>
          </w:p>
        </w:tc>
        <w:tc>
          <w:tcPr>
            <w:tcW w:w="1705" w:type="dxa"/>
            <w:vAlign w:val="center"/>
          </w:tcPr>
          <w:p>
            <w:pPr>
              <w:jc w:val="right"/>
            </w:pPr>
            <w:r>
              <w:t>127.58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162,486.89</w:t>
            </w:r>
          </w:p>
        </w:tc>
        <w:tc>
          <w:tcPr>
            <w:tcW w:w="1705" w:type="dxa"/>
            <w:vAlign w:val="center"/>
          </w:tcPr>
          <w:p>
            <w:pPr>
              <w:jc w:val="right"/>
            </w:pPr>
            <w: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15,013,036.53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135.04</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15,013,036.53</w:t>
            </w:r>
          </w:p>
        </w:tc>
        <w:tc>
          <w:tcPr>
            <w:tcW w:w="1749" w:type="dxa"/>
            <w:shd w:val="clear" w:color="auto" w:fill="auto"/>
          </w:tcPr>
          <w:p>
            <w:pPr>
              <w:jc w:val="right"/>
            </w:pPr>
            <w:r>
              <w:t>100.00</w:t>
            </w:r>
          </w:p>
        </w:tc>
        <w:tc>
          <w:tcPr>
            <w:tcW w:w="1653" w:type="dxa"/>
          </w:tcPr>
          <w:p>
            <w:pPr>
              <w:jc w:val="right"/>
            </w:pPr>
            <w:r>
              <w:t>19,316,521.34</w:t>
            </w:r>
          </w:p>
        </w:tc>
        <w:tc>
          <w:tcPr>
            <w:tcW w:w="1705" w:type="dxa"/>
          </w:tcPr>
          <w:p>
            <w:pPr>
              <w:jc w:val="right"/>
            </w:pPr>
            <w:r>
              <w:t>128.66</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宋体" w:hAnsi="宋体" w:eastAsia="宋体"/>
          <w:szCs w:val="21"/>
        </w:rPr>
      </w:pPr>
      <w:r>
        <w:rPr>
          <w:rFonts w:hint="eastAsia" w:ascii="宋体" w:hAnsi="宋体" w:eastAsia="宋体"/>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宋体" w:hAnsi="宋体" w:eastAsia="宋体"/>
          <w:sz w:val="24"/>
        </w:rPr>
      </w:pPr>
      <w:r>
        <w:rPr>
          <w:rFonts w:hint="eastAsia" w:ascii="宋体" w:hAnsi="宋体" w:eastAsia="宋体"/>
          <w:szCs w:val="21"/>
        </w:rPr>
        <w:t>为防范无法支付到期赎回款而产生的流动性风险，本产品管理人将合理安排所投资产期限，产品到期前完成所投资组合中相关资产变现，尽可能降低产品流动性风险，有效保障产品持有人利益。</w:t>
      </w:r>
    </w:p>
    <w:p>
      <w:pPr>
        <w:ind w:firstLine="420" w:firstLineChars="200"/>
        <w:jc w:val="left"/>
        <w:rPr>
          <w:rFonts w:asciiTheme="minorEastAsia" w:hAnsiTheme="minorEastAsia" w:eastAsiaTheme="minorEastAsia"/>
          <w:sz w:val="24"/>
        </w:rPr>
      </w:pPr>
      <w:r>
        <w:rPr>
          <w:rFonts w:hint="eastAsia" w:ascii="宋体" w:hAnsi="宋体" w:eastAsia="宋体"/>
          <w:szCs w:val="21"/>
          <w:lang w:eastAsia="zh-CN"/>
        </w:rPr>
        <w:t>报告期内，本产品未发生重大流动性风险事件。</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15,013,036.53</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交筑YK01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471,098.28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403,074.00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21江科01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402,264.53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21科城01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397,442.67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22中电投MTN026</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394,238.02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22首农食品MTN001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392,476.99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332,476.84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325,802.22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323,686.41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321,292.00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2023-04-</w:t>
      </w:r>
      <w:r>
        <w:rPr>
          <w:rFonts w:hint="eastAsia" w:ascii="宋体" w:hAnsi="宋体"/>
          <w:sz w:val="28"/>
          <w:szCs w:val="28"/>
          <w:lang w:val="en-US" w:eastAsia="zh-CN"/>
        </w:rPr>
        <w:t>20</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FB27DF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3</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2023-04-23T07:27:15Z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