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德清农商银行丰收信福2022年第</w:t>
      </w:r>
      <w:r>
        <w:rPr>
          <w:rFonts w:hint="eastAsia" w:ascii="黑体" w:hAnsi="宋体" w:eastAsia="黑体"/>
          <w:b/>
          <w:bCs/>
          <w:color w:val="000000"/>
          <w:sz w:val="48"/>
          <w:szCs w:val="48"/>
          <w:lang w:val="en-US" w:eastAsia="zh-CN"/>
        </w:rPr>
        <w:t>72</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72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18,330,000.00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[3.7%-3.8%]/年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128.31%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-0.21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298,294.13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18,292,880.70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0.9979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22,147,556.71</w:t>
            </w:r>
          </w:p>
        </w:tc>
        <w:tc>
          <w:tcPr>
            <w:tcW w:w="1705" w:type="dxa"/>
            <w:vAlign w:val="center"/>
          </w:tcPr>
          <w:p>
            <w:pPr>
              <w:jc w:val="right"/>
            </w:pPr>
            <w:r>
              <w:t>121.06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21,479,807.33</w:t>
            </w:r>
          </w:p>
        </w:tc>
        <w:tc>
          <w:tcPr>
            <w:tcW w:w="1705" w:type="dxa"/>
            <w:vAlign w:val="center"/>
          </w:tcPr>
          <w:p>
            <w:pPr>
              <w:jc w:val="right"/>
            </w:pPr>
            <w:r>
              <w:t>117.41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667,749.38</w:t>
            </w:r>
          </w:p>
        </w:tc>
        <w:tc>
          <w:tcPr>
            <w:tcW w:w="1705" w:type="dxa"/>
            <w:vAlign w:val="center"/>
          </w:tcPr>
          <w:p>
            <w:pPr>
              <w:jc w:val="right"/>
            </w:pPr>
            <w: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788,700.84</w:t>
            </w:r>
          </w:p>
        </w:tc>
        <w:tc>
          <w:tcPr>
            <w:tcW w:w="1705" w:type="dxa"/>
            <w:vAlign w:val="center"/>
          </w:tcPr>
          <w:p>
            <w:pPr>
              <w:jc w:val="right"/>
            </w:pPr>
            <w: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243,289.43</w:t>
            </w:r>
          </w:p>
        </w:tc>
        <w:tc>
          <w:tcPr>
            <w:tcW w:w="1705" w:type="dxa"/>
            <w:vAlign w:val="center"/>
          </w:tcPr>
          <w:p>
            <w:pPr>
              <w:jc w:val="right"/>
            </w:pPr>
            <w: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18,294,058.83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293,302.09</w:t>
            </w:r>
          </w:p>
        </w:tc>
        <w:tc>
          <w:tcPr>
            <w:tcW w:w="1705" w:type="dxa"/>
            <w:vAlign w:val="center"/>
          </w:tcPr>
          <w:p>
            <w:pPr>
              <w:jc w:val="right"/>
            </w:pPr>
            <w: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18,294,058.83</w:t>
            </w:r>
          </w:p>
        </w:tc>
        <w:tc>
          <w:tcPr>
            <w:tcW w:w="1749" w:type="dxa"/>
            <w:shd w:val="clear" w:color="auto" w:fill="auto"/>
          </w:tcPr>
          <w:p>
            <w:pPr>
              <w:jc w:val="right"/>
            </w:pPr>
            <w:r>
              <w:t>100.00</w:t>
            </w:r>
          </w:p>
        </w:tc>
        <w:tc>
          <w:tcPr>
            <w:tcW w:w="1653" w:type="dxa"/>
          </w:tcPr>
          <w:p>
            <w:pPr>
              <w:jc w:val="right"/>
            </w:pPr>
            <w:r>
              <w:t>23,472,849.13</w:t>
            </w:r>
          </w:p>
        </w:tc>
        <w:tc>
          <w:tcPr>
            <w:tcW w:w="1705" w:type="dxa"/>
          </w:tcPr>
          <w:p>
            <w:pPr>
              <w:jc w:val="right"/>
            </w:pPr>
            <w:r>
              <w:t>128.31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hint="eastAsia" w:ascii="宋体" w:hAnsi="宋体" w:eastAsia="宋体"/>
          <w:szCs w:val="21"/>
          <w:lang w:eastAsia="zh-CN"/>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18,294,058.83</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1,159,179.23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1,156,955.41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1,148,797.18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22路建Y2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1,133,496.48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22三航Y1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1,130,849.50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1,042,158.50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21江科K2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922,574.37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788,700.84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21成都高新MTN004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699,743.39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21环太湖PPN001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698,670.58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C3A1D4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2023-04-23T06:57:39Z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