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德清农商银行丰收信福2022年第59期封闭净值型人民币理财产品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59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hint="default" w:ascii="宋体" w:hAnsi="宋体" w:eastAsia="宋体"/>
                <w:szCs w:val="21"/>
                <w:lang w:val="en-US" w:eastAsia="zh-CN"/>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8,550,000.00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[3.9%-4%]/年</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hint="default" w:ascii="宋体" w:hAnsi="宋体" w:eastAsia="宋体"/>
                <w:lang w:val="en-US" w:eastAsia="zh-CN"/>
              </w:rPr>
            </w:pPr>
            <w:r>
              <w:rPr>
                <w:rFonts w:hint="eastAsia" w:ascii="宋体" w:hAnsi="宋体"/>
                <w:lang w:val="en-US" w:eastAsia="zh-CN"/>
              </w:rPr>
              <w:t>148.91%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0.65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199,656.31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8,605,652.88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1.0065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12,122,286.31</w:t>
            </w:r>
          </w:p>
        </w:tc>
        <w:tc>
          <w:tcPr>
            <w:tcW w:w="1705" w:type="dxa"/>
            <w:vAlign w:val="center"/>
          </w:tcPr>
          <w:p>
            <w:pPr>
              <w:jc w:val="right"/>
            </w:pPr>
            <w:r>
              <w:t>140.85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12,122,286.31</w:t>
            </w:r>
          </w:p>
        </w:tc>
        <w:tc>
          <w:tcPr>
            <w:tcW w:w="1705" w:type="dxa"/>
            <w:vAlign w:val="center"/>
          </w:tcPr>
          <w:p>
            <w:pPr>
              <w:jc w:val="right"/>
            </w:pPr>
            <w:r>
              <w:t>140.85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682,218.51</w:t>
            </w:r>
          </w:p>
        </w:tc>
        <w:tc>
          <w:tcPr>
            <w:tcW w:w="1705" w:type="dxa"/>
            <w:vAlign w:val="center"/>
          </w:tcPr>
          <w:p>
            <w:pPr>
              <w:jc w:val="right"/>
            </w:pPr>
            <w:r>
              <w:t>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10,065.89</w:t>
            </w:r>
          </w:p>
        </w:tc>
        <w:tc>
          <w:tcPr>
            <w:tcW w:w="1705" w:type="dxa"/>
            <w:vAlign w:val="center"/>
          </w:tcPr>
          <w:p>
            <w:pPr>
              <w:jc w:val="right"/>
            </w:pPr>
            <w: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8,606,401.80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1,102.81</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8,606,401.80</w:t>
            </w:r>
          </w:p>
        </w:tc>
        <w:tc>
          <w:tcPr>
            <w:tcW w:w="1749" w:type="dxa"/>
            <w:shd w:val="clear" w:color="auto" w:fill="auto"/>
          </w:tcPr>
          <w:p>
            <w:pPr>
              <w:jc w:val="right"/>
            </w:pPr>
            <w:r>
              <w:t>100.00</w:t>
            </w:r>
          </w:p>
        </w:tc>
        <w:tc>
          <w:tcPr>
            <w:tcW w:w="1653" w:type="dxa"/>
          </w:tcPr>
          <w:p>
            <w:pPr>
              <w:jc w:val="right"/>
            </w:pPr>
            <w:r>
              <w:t>12,815,673.52</w:t>
            </w:r>
          </w:p>
        </w:tc>
        <w:tc>
          <w:tcPr>
            <w:tcW w:w="1705" w:type="dxa"/>
          </w:tcPr>
          <w:p>
            <w:pPr>
              <w:jc w:val="right"/>
            </w:pPr>
            <w:r>
              <w:t>148.91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永安期货安丰1号</w:t>
            </w:r>
          </w:p>
        </w:tc>
        <w:tc>
          <w:tcPr>
            <w:tcW w:w="2693" w:type="dxa"/>
            <w:shd w:val="clear" w:color="auto" w:fill="auto"/>
            <w:vAlign w:val="center"/>
          </w:tcPr>
          <w:p>
            <w:pPr>
              <w:jc w:val="right"/>
            </w:pPr>
            <w:r>
              <w:t>8,606,401.80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22钟山资产MTN001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368,771.51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23青岛世园MTN001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364,268.01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23渤投01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364,018.49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23南京新港MTN002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362,281.02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23胶发D1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361,018.25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23青岛黄岛SCP001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360,719.23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22广州开投MTN002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360,101.09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22西城Y1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345,330.40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21民晟01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345,244.15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20恒丰银行永续债</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322,485.35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3.75</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93D1A81"/>
    <w:rsid w:val="218F33AF"/>
    <w:rsid w:val="61FB680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2023-04-23T08:16:11Z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