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兴银理财添利10号净值型理财产品 </w:t>
              <w:br/>
              <w:t xml:space="preserve">2023年半年度报告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报告送出日期：2023年9月22日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理财托管机构报告</w:t>
              <w:br/>
              <w:t xml:space="preserve">§ 七.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br/>
              <w:t xml:space="preserve">     7. 理财份额投资人信息</w:t>
              <w:br/>
              <w:t xml:space="preserve">     8. 影响理财份额投资人决策的其他重要信息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兴银理财添利10号净值型理财产品 </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9B310090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Z7002021000107</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开放式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40,340,303,542.12份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R1</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exact" w:val="30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10,359,171,693.13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2,913,747,298.32</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18,234,812,996.79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兴银添利10号D </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38,983,055.49</w:t>
                        </w:r>
                      </w:p>
                    </w:tc>
                  </w:tr>
                </w:tbl>
                <w:p>
                  <w:pPr>
                    <w:pStyle w:val="EMPTY_CELL_STYLE"/>
                  </w:pPr>
                </w:p>
              </w:tc>
            </w:tr>
          </w:tbl>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r>
    </w:tbl>
    <w:tbl>
      <w:tblPr>
        <w:tblLayout w:type="fixed"/>
      </w:tblPr>
      <w:tblGrid>
        <w:gridCol w:w="1"/>
        <w:gridCol w:w="3400"/>
        <w:gridCol w:w="2000"/>
        <w:gridCol w:w="2000"/>
        <w:gridCol w:w="3300"/>
        <w:gridCol w:w="10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gridSpan w:val="4"/>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兴银添利10号E</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9B31009E</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1,202,748,801.49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兴银添利10号F</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9B31009F</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4,780,307,818.90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兴银添利10号G</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9B31009G</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326,244,568.20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兴银添利10号H</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9B31009H</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304,398,538.63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兴银添利10号J</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9B31009J</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2,154,726,493.78</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兴银添利10号K</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9B31009K</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25,132,742.70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兴银添利10号N</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9B31009N</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29,534.69</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4"/>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4"/>
            <w:tcMar>
              <w:top w:w="0" w:type="dxa"/>
              <w:left w:w="0" w:type="dxa"/>
              <w:bottom w:w="0" w:type="dxa"/>
              <w:right w:w="0" w:type="dxa"/>
            </w:tcMar>
            <w:vAlign w:val="center"/>
          </w:tcPr>
          <w:p>
            <w:pPr>
              <w:ind w:firstLine="0"/>
              <w:spacing w:lineRule="exact" w:line="320" w:after="0" w:before="0"/>
            </w:pPr>
            <w:r>
              <w:rPr>
                <w:rFonts w:ascii="宋体" w:hAnsi="宋体" w:eastAsia="宋体" w:cs="宋体"/>
                <w:color w:val="000000"/>
                <w:sz w:val="21"/>
              </w:rPr>
              <w:t xml:space="preserve">    报告期内，9B31009A七日年化收益率均值2.2005%，9B31009B七日年化收益率均值2.4527%，9B31009C七日年化收益率均值2.4064%，9B31009D七日年化收益率均值2.1982%，9B31009E七日年化收益率均值2.3071%，9B31009F七日年化收益率均值2.3050%，9B31009G七日年化收益率均值2.4567%，9B31009H七日年化收益率均值2.4032%，9B31009J七日年化收益率均值2.4361%，9B31009K七日年化收益率均值2.4848%，9B31009N七日年化收益率均值2.1145%。同期业绩比较基准¹如下：</w:t>
            </w: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gridSpan w:val="5"/>
            <w:tcMar>
              <w:top w:w="0" w:type="dxa"/>
              <w:left w:w="0" w:type="dxa"/>
              <w:bottom w:w="0" w:type="dxa"/>
              <w:right w:w="0" w:type="dxa"/>
            </w:tcMar>
          </w:tcPr>
          <w:tbl>
            <w:tblPr>
              <w:tblLayout w:type="fixed"/>
            </w:tblPr>
            <w:tblGrid>
              <w:gridCol w:w="2000"/>
              <w:gridCol w:w="4000"/>
              <w:gridCol w:w="48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销售代码</w:t>
                        </w:r>
                      </w:p>
                    </w:tc>
                    <w:tc>
                      <w:tcPr>
     </w:tcPr>
                      <w:p>
                        <w:pPr>
                          <w:pStyle w:val="EMPTY_CELL_STYLE"/>
                        </w:pP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适用期间</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业绩比较基准</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9B31009N</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2023-06-02至2023-06-30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9B31009K</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2023-03-14至2023-06-30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80"/>
        <w:gridCol w:w="6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7"/>
            <w:tcMar>
              <w:top w:w="0" w:type="dxa"/>
              <w:left w:w="0" w:type="dxa"/>
              <w:bottom w:w="0" w:type="dxa"/>
              <w:right w:w="0" w:type="dxa"/>
            </w:tcMar>
          </w:tcPr>
          <w:tbl>
            <w:tblPr>
              <w:tblLayout w:type="fixed"/>
            </w:tblPr>
            <w:tblGrid>
              <w:gridCol w:w="2000"/>
              <w:gridCol w:w="4000"/>
              <w:gridCol w:w="48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top"/>
          </w:tcPr>
          <w:p>
            <w:pPr>
              <w:ind/>
            </w:pPr>
            <w:r>
              <w:rPr>
                <w:rFonts w:ascii="宋体" w:hAnsi="宋体" w:eastAsia="宋体" w:cs="宋体"/>
                <w:color w:val="000000"/>
                <w:sz w:val="16"/>
              </w:rPr>
              <w:t xml:space="preserve">注:业绩比较基准指管理人综合考虑市场环境、产品性质、投资策略、过往表现等因素，对理财产品设置的投资目标和相关解释说明。业绩比较基准不代表理财产品未来表现，不等于理财产品实际收益，不作为产品收益的业绩保证，投资须谨慎。</w:t>
            </w: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8"/>
            <w:tcMar>
              <w:top w:w="0" w:type="dxa"/>
              <w:left w:w="0" w:type="dxa"/>
              <w:bottom w:w="0" w:type="dxa"/>
              <w:right w:w="0" w:type="dxa"/>
            </w:tcMar>
            <w:vAlign w:val="center"/>
          </w:tcPr>
          <w:p>
            <w:pPr>
              <w:ind/>
            </w:pPr>
            <w:r>
              <w:rPr>
                <w:rFonts w:ascii="宋体" w:hAnsi="宋体" w:eastAsia="宋体" w:cs="宋体"/>
                <w:color w:val="000000"/>
                <w:sz w:val="21"/>
              </w:rPr>
              <w:t xml:space="preserve">报告期末，产品收益具体如下：</w:t>
            </w: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0.6092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40,340,303,542.12</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0.5724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2.1650%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10,359,171,693.13</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0.6153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2.3170%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2,913,747,298.32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0.6280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2.3690%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18,234,812,996.79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0.5738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2.1640%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38,983,055.49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2.2700%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1,202,748,801.49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0.6021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2.2690%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4,780,307,818.90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0.6432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2.4200%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326,244,568.20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0.6297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2.3700%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304,398,538.63</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0.6305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2.3720%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2,154,726,493.78</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9B31009K</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0.6591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2.4780%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25,132,742.70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9B31009N</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0.5485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2.1290%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29,534.69</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汪锦女士，上海财经大学管理学学士、经济学硕士，国际金融理财师（CFP），中级经济师职称。银行理财产品创设、投资从业14年。 2008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银理财添利9号、添利5号、添利10号、日日新2号和现金宝4号净值型理财产品投资经理。</w:t>
            </w: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2000"/>
        <w:gridCol w:w="2000"/>
        <w:gridCol w:w="330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atLeast" w:val="600"/>
        </w:trPr>
        <w:tc>
          <w:tcPr>
     </w:tcPr>
          <w:p>
            <w:pPr>
              <w:pStyle w:val="EMPTY_CELL_STYLE"/>
            </w:pPr>
          </w:p>
        </w:tc>
        <w:tc>
          <w:tcPr>
            <w:gridSpan w:val="4"/>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940"/>
        </w:trPr>
        <w:tc>
          <w:tcPr>
     </w:tcPr>
          <w:p>
            <w:pPr>
              <w:pStyle w:val="EMPTY_CELL_STYLE"/>
            </w:pPr>
          </w:p>
        </w:tc>
        <w:tc>
          <w:tcPr>
            <w:gridSpan w:val="4"/>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 宏观经济及市场情况</w:t>
              <w:br/>
              <w:t xml:space="preserve">    二季度受去年同期低基数影响，经济数据表现同比尚可，但随着场景修复和积压需求拉动的复苏动能在一季度逐步兑现，补偿性增长渐入尾声，经济环比修复速度放缓。4月公布的宏观经济数据不及预期，叠加地产销售数据、票据转贴利率等核心高频指标大幅回落，进一步印证经济弱修复格局，债市走牛，利率整体处于下行区间 。5月存款利率下调加上资金面转松，打开中短端下行窗口，曲线从牛平转为牛陡。6月央行降息落地，市场开始交易稳增长预期，利率波动加大。二季度10年国债收益率从2.86%一路下破2.6%，随后回到2.65%-2.7%区间震荡。</w:t>
              <w:br/>
              <w:t xml:space="preserve">    展望后市，当前经济各分项整体边际改善企稳，逐步呈现筑底特征，但向上动能依然偏弱，政策必要性上升。 下半年，地产和私人部门信心问题依然存在，随着PPI和库存周期见底，补库需求或将提振工业生产，但低迷的终端需求下向上弹性有限。经济自发修复力量不足，基建等逆周期分项有待增量准财政工具提供资金支持，政策必要性上升，但高质量发展主题下对政策的领域和力度不宜过度期待。二季度货币政策例会重申“内生驱动还不强，需求驱动仍不足”，要“加大宏观政策调控力度，精准有力实施稳健的货币政策”。短期内受限于外围环境和政策定力难言超预期宽松，关注三季度超储季节性回落后是否有降准可能性。</w:t>
              <w:br/>
              <w:br/>
              <w:t xml:space="preserve">二 前期运作回顾</w:t>
              <w:br/>
              <w:t xml:space="preserve">    本产品始终将保持流动性安全和防范信用风险作为第一要务，在此基础上通过稳健的投资风格实现相对有竞争力的收益。报告期内，本产品规模稳中略降，杠杆平稳，运作安全。二季度以来，经济动能放缓、货币政策宽松、存款利率调降等因素促使债券利率加速下行。特别是利率债，相比信用债下行幅度更大，利差从5月开始呈现被动走阔。</w:t>
              <w:br/>
              <w:t xml:space="preserve">    配置策略上，积极把握资金面波动带来的市场阶段性高点的买入机会，尤其是季度末、缴税等关键时间节点，都是短期资产建仓的买点。资产品种上，依然以同业存单、高等级信用债、存放同业、ABS等品种为主，并抓住季度末时点布局了一批利率债，为三季度打下基础。此外，组合久期维持在80-100天，产品收益率先降后升，保持市场前列，具有竞争优势。</w:t>
              <w:br/>
              <w:br/>
              <w:t xml:space="preserve">三 后期投资策略</w:t>
              <w:br/>
              <w:t xml:space="preserve">    当前从短端绝对收益率水平和信用利差角度来讲，配置价值均有所弱化，但基本面钝化下受理财短期化供需格局和资金面宽松影响，品种和期限利差不排除进一步压缩的可能。三季度，本产品仍然会坚持以安全性和流动性优先、兼顾收益性的稳健策略，综合考量各类资产的风险收益特征，根据市场情况灵活把握投资节奏。结合负债端情况提前布局产品流动性，保障产品运作安全。同时，我们会按照《关于规范现金管理类理财产品管理有关事项的通知》的相关要求，持续动态监控产品投资组合，保障产品合规、平稳地运作。</w:t>
              <w:br/>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4"/>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理财托管机构报告</w:t>
            </w:r>
          </w:p>
        </w:tc>
        <w:tc>
          <w:tcPr>
     </w:tcPr>
          <w:p>
            <w:pPr>
              <w:pStyle w:val="EMPTY_CELL_STYLE"/>
            </w:pPr>
          </w:p>
        </w:tc>
      </w:tr>
      <w:tr>
        <w:trPr>
          <w:trHeight w:hRule="exact" w:val="3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left"/>
              <w:spacing w:lineRule="exact" w:line="320" w:after="0" w:before="0"/>
            </w:pPr>
            <w:r>
              <w:rPr>
                <w:rFonts w:ascii="宋体" w:hAnsi="宋体" w:eastAsia="宋体" w:cs="宋体"/>
                <w:color w:val="000000"/>
                <w:sz w:val="21"/>
              </w:rPr>
              <w:br/>
              <w:t xml:space="preserve">    报告期内，托管人严格遵守《商业银行理财业务监督管理办法》及相关法律法规规定、理财产品托管协议约定，诚实信用、谨慎勤勉地履行了托管人义务，不存在损害理财产品投资者利益的行为。</w:t>
              <w:b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br/>
              <w:t xml:space="preserve">托管人认真复核了本报告中的净值表现、投资组合报告等内容，认为其真实、准确和完整，不存在虚假记载、误导性陈述或者重大遗漏。</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七. 投资组合情况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现金及银行存款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45.92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45.92</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拆放同业及债券买入返售</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0.61</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同业存单</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18.80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委外投资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34.67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34.67</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r>
          </w:tbl>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报告期末本产品总资产未超过该产品净资产规模的120%，符合产品协议对本产品杠杆比例的要求。</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r>
      <w:tr>
        <w:trPr>
          <w:trHeight w:hRule="atLeast" w:val="258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br/>
              <w:t xml:space="preserve">    为防范无法支付赎回款而产生的流动性风险，本理财产品管理人将合理安排所投资产期限，持续根据市场变化情况做好投资安排，尽可能降低产品流动性风险，有效保障理财持有人利益。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6640"/>
        </w:trPr>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农业银行上海分行活期存款</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2,401,423,611.09</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5.95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Z存放同业（线上）20230119001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1,517,318,750.00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Z存放同业（线上）20230210008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1,515,627,499.53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23CSFD85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1,130,878,728.77</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2.80</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Z存放同业（线上）20230106001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1,012,564,444.64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23交通银行CD057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688,994,453.47</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1.71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23浦发银行CD021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594,481,029.12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1.47</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21中金F6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583,472,171.75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23成都农商银行CD030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547,306,980.70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Z存放同业（线上）20220916009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508,119,998.72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1.26</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60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18鲁能源MTN001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18青城03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华福证券有限责任公司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18陕煤化MTN003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19首钢MTN002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20迪荡新投MTN002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20东方债02BC</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20晋能MTN013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20联发集MTN002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20浦口康居MTN005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2000"/>
        <w:gridCol w:w="2000"/>
        <w:gridCol w:w="3300"/>
        <w:gridCol w:w="1"/>
      </w:tblGrid>
      <w:tr>
        <w:trPr>
          <w:trHeight w:hRule="exact" w:val="0"/>
        </w:trPr>
        <w:tc>
          <w:tcPr>
     </w:tcPr>
          <w:p>
            <w:pPr>
              <w:pStyle w:val="EMPTY_CELL_STYLE"/>
              <w:pageBreakBefore/>
            </w:pPr>
            <w:bookmarkStart w:id="8" w:name="JR_PAGE_ANCHOR_0_9"/>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14400"/>
        </w:trPr>
        <w:tc>
          <w:tcPr>
     </w:tcPr>
          <w:p>
            <w:pPr>
              <w:pStyle w:val="EMPTY_CELL_STYLE"/>
            </w:pPr>
          </w:p>
        </w:tc>
        <w:tc>
          <w:tcPr>
            <w:gridSpan w:val="4"/>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20山高01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华福证券有限责任公司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20太原国投PPN002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20兴信02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20盐城资产MTN001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20株洲城建MTN002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21北部湾MTN002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21成都兴城MTN001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21光明房产MTN001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21晋能电力MTN009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21晋能装备MTN002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21生产兵团MTN002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21万科MTN002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21兴信01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22西盛投资CP002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22湘高速CP004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22象屿SCP009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23百业源CP001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23国新保理SCP001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23建安投资CP001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23胶州湾CP001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23联发集SCP001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23南京医药SCP003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23荣盛SCP004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23苏沙钢SCP002(科创票据)</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9/</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00"/>
        <w:gridCol w:w="200"/>
        <w:gridCol w:w="1"/>
      </w:tblGrid>
      <w:tr>
        <w:trPr>
          <w:trHeight w:hRule="exact" w:val="0"/>
        </w:trPr>
        <w:tc>
          <w:tcPr>
     </w:tcPr>
          <w:p>
            <w:pPr>
              <w:pStyle w:val="EMPTY_CELL_STYLE"/>
              <w:pageBreakBefore/>
            </w:pPr>
            <w:bookmarkStart w:id="9" w:name="JR_PAGE_ANCHOR_0_10"/>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23湘建工SCP001(科创票据)</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23浙兴合SCP001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23中交城投SCP001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26.53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销售服务费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5.98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快赎垫资服务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兴业银行活期存款（北京）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授信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051010100101209133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7.理财份额投资人信息</w:t>
            </w: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jc w:val="left"/>
            </w:pPr>
            <w:r>
              <w:rPr>
                <w:rFonts w:ascii="宋体" w:hAnsi="宋体" w:eastAsia="宋体" w:cs="宋体"/>
                <w:color w:val="000000"/>
                <w:sz w:val="20"/>
              </w:rPr>
              <w:t xml:space="preserve"> 7.1期末现金管理类产品前十大份额投资人情况</w:t>
            </w:r>
          </w:p>
        </w:tc>
        <w:tc>
          <w:tcPr>
     </w:tcPr>
          <w:p>
            <w:pPr>
              <w:pStyle w:val="EMPTY_CELL_STYLE"/>
            </w:pPr>
          </w:p>
        </w:tc>
      </w:tr>
      <w:tr>
        <w:trPr>
          <w:trHeight w:hRule="exact" w:val="4200"/>
        </w:trPr>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400"/>
              <w:gridCol w:w="3200"/>
              <w:gridCol w:w="3200"/>
              <w:gridCol w:w="30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投资者类别</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持有份额（份）</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占总份额占比（%）</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150,013,355.64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0.3719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48,411,677.64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0.1200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42,524,772.17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0.1054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40,942,995.04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0.1015</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0.0744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25,372,929.26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0.0629</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10/</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140"/>
        <w:gridCol w:w="160"/>
        <w:gridCol w:w="1"/>
      </w:tblGrid>
      <w:tr>
        <w:trPr>
          <w:trHeight w:hRule="exact" w:val="0"/>
        </w:trPr>
        <w:tc>
          <w:tcPr>
     </w:tcPr>
          <w:p>
            <w:pPr>
              <w:pStyle w:val="EMPTY_CELL_STYLE"/>
              <w:pageBreakBefore/>
            </w:pPr>
            <w:bookmarkStart w:id="10" w:name="JR_PAGE_ANCHOR_0_11"/>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2023年半年度报告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gridSpan w:val="5"/>
            <w:tcMar>
              <w:top w:w="0" w:type="dxa"/>
              <w:left w:w="0" w:type="dxa"/>
              <w:bottom w:w="0" w:type="dxa"/>
              <w:right w:w="0" w:type="dxa"/>
            </w:tcMar>
          </w:tcPr>
          <w:tbl>
            <w:tblPr>
              <w:tblLayout w:type="fixed"/>
            </w:tblPr>
            <w:tblGrid>
              <w:gridCol w:w="1400"/>
              <w:gridCol w:w="3200"/>
              <w:gridCol w:w="3200"/>
              <w:gridCol w:w="30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25,308,307.71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0.0627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22,642,640.13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0.0561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21,849,119.66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0.0542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20,440,851.84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0.0507</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8.影响理财份额投资人决策的其他重要信息</w:t>
            </w: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0"/>
              </w:rPr>
              <w:t xml:space="preserve"> 8.1报告期内单一投资者持有产品份额达到或者超过该产品总份额20%的情形</w:t>
            </w:r>
          </w:p>
        </w:tc>
        <w:tc>
          <w:tcPr>
     </w:tcPr>
          <w:p>
            <w:pPr>
              <w:pStyle w:val="EMPTY_CELL_STYLE"/>
            </w:pPr>
          </w:p>
        </w:tc>
      </w:tr>
      <w:tr>
        <w:trPr>
          <w:trHeight w:hRule="exact" w:val="600"/>
        </w:trPr>
        <w:tc>
          <w:tcPr>
     </w:tcPr>
          <w:p>
            <w:pPr>
              <w:pStyle w:val="EMPTY_CELL_STYLE"/>
            </w:pPr>
          </w:p>
        </w:tc>
        <w:tc>
          <w:tcPr>
            <w:gridSpan w:val="7"/>
            <w:tcMar>
              <w:top w:w="0" w:type="dxa"/>
              <w:left w:w="0" w:type="dxa"/>
              <w:bottom w:w="0" w:type="dxa"/>
              <w:right w:w="0" w:type="dxa"/>
            </w:tcMar>
          </w:tcPr>
          <w:tbl>
            <w:tblPr>
              <w:tblLayout w:type="fixed"/>
            </w:tblPr>
            <w:tblGrid>
              <w:gridCol w:w="11000"/>
              <w:gridCol w:w="11000"/>
            </w:tblGrid>
            <w:tr>
              <w:trPr>
                <w:trHeight w:hRule="exact" w:val="600"/>
              </w:trPr>
              <w:tc>
                <w:tcPr>
                  <w:shd w:val="clear" w:color="auto" w:fill="FFFFFF"/>
                  <w:tcMar>
                    <w:top w:w="0" w:type="dxa"/>
                    <w:left w:w="0" w:type="dxa"/>
                    <w:bottom w:w="0" w:type="dxa"/>
                    <w:right w:w="0" w:type="dxa"/>
                  </w:tcMar>
                </w:tcPr>
                <w:tbl>
                  <w:tblPr>
                    <w:tblLayout w:type="fixed"/>
                  </w:tblPr>
                  <w:tblGrid>
                    <w:gridCol w:w="11000"/>
                    <w:gridCol w:w="11000"/>
                  </w:tblGrid>
                  <w:tr>
                    <w:trPr>
                      <w:trHeight w:hRule="atLeast" w:val="600"/>
                    </w:trPr>
                    <w:tc>
                      <w:tcPr>
                        <w:tcMar>
                          <w:top w:w="0" w:type="dxa"/>
                          <w:left w:w="0" w:type="dxa"/>
                          <w:bottom w:w="0" w:type="dxa"/>
                          <w:right w:w="0" w:type="dxa"/>
                        </w:tcMar>
                        <w:vAlign w:val="center"/>
                      </w:tcPr>
                      <w:p>
                        <w:pPr>
                          <w:ind/>
                          <w:jc w:val="left"/>
                        </w:pPr>
                        <w:r>
                          <w:rPr>
                            <w:rFonts w:ascii="宋体" w:hAnsi="宋体" w:eastAsia="宋体" w:cs="宋体"/>
                            <w:color w:val="000000"/>
                            <w:sz w:val="21"/>
                          </w:rPr>
                          <w:t xml:space="preserve">    本产品本报告期无单一投资者持有产品份额达到或者超过该产品总份额20%的情形。</w:t>
                        </w:r>
                      </w:p>
                    </w:tc>
                  </w:tr>
                </w:tbl>
                <w:p>
                  <w:pPr>
                    <w:pStyle w:val="EMPTY_CELL_STYLE"/>
                  </w:pPr>
                </w:p>
              </w:tc>
            </w:tr>
          </w:tbl>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top"/>
          </w:tcPr>
          <w:p>
            <w:pPr>
              <w:ind/>
              <w:jc w:val="right"/>
            </w:pPr>
            <w:r>
              <w:rPr>
                <w:rFonts w:ascii="宋体" w:hAnsi="宋体" w:eastAsia="宋体" w:cs="宋体"/>
                <w:color w:val="000000"/>
                <w:sz w:val="21"/>
              </w:rPr>
              <w:t xml:space="preserve">2023年9月22日</w:t>
            </w:r>
          </w:p>
        </w:tc>
        <w:tc>
          <w:tcPr>
     </w:tcPr>
          <w:p>
            <w:pPr>
              <w:pStyle w:val="EMPTY_CELL_STYLE"/>
            </w:pPr>
          </w:p>
        </w:tc>
        <w:tc>
          <w:tcPr>
     </w:tcPr>
          <w:p>
            <w:pPr>
              <w:pStyle w:val="EMPTY_CELL_STYLE"/>
            </w:pPr>
          </w:p>
        </w:tc>
        <w:tc>
          <w:tcPr>
     </w:tcPr>
          <w:p>
            <w:pPr>
              <w:pStyle w:val="EMPTY_CELL_STYLE"/>
            </w:pPr>
          </w:p>
        </w:tc>
      </w:tr>
      <w:tr>
        <w:trPr>
          <w:trHeight w:hRule="exact" w:val="8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30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