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rPr>
      </w:pPr>
      <w:r>
        <w:rPr>
          <w:rFonts w:hint="eastAsia" w:ascii="黑体" w:hAnsi="宋体" w:eastAsia="黑体"/>
          <w:b/>
          <w:bCs/>
          <w:color w:val="000000"/>
          <w:sz w:val="48"/>
          <w:szCs w:val="48"/>
        </w:rPr>
        <w:t>德清农商银行丰收喜悦月月赢</w:t>
      </w:r>
      <w:r>
        <w:rPr>
          <w:rFonts w:hint="eastAsia" w:ascii="黑体" w:hAnsi="宋体" w:eastAsia="黑体"/>
          <w:b/>
          <w:bCs/>
          <w:color w:val="000000"/>
          <w:sz w:val="48"/>
          <w:szCs w:val="48"/>
          <w:lang w:val="en-US" w:eastAsia="zh-CN"/>
        </w:rPr>
        <w:t>2</w:t>
      </w:r>
      <w:r>
        <w:rPr>
          <w:rFonts w:hint="eastAsia" w:ascii="黑体" w:hAnsi="宋体" w:eastAsia="黑体"/>
          <w:b/>
          <w:bCs/>
          <w:color w:val="000000"/>
          <w:sz w:val="48"/>
          <w:szCs w:val="48"/>
        </w:rPr>
        <w:t>号28天定开净值型理财产品</w:t>
      </w:r>
    </w:p>
    <w:p>
      <w:pPr>
        <w:jc w:val="center"/>
        <w:rPr>
          <w:rFonts w:ascii="宋体" w:hAnsi="宋体"/>
          <w:b/>
          <w:bCs/>
          <w:sz w:val="28"/>
          <w:szCs w:val="30"/>
        </w:rPr>
      </w:pPr>
      <w:r>
        <w:rPr>
          <w:rFonts w:hint="eastAsia" w:ascii="黑体" w:hAnsi="Times New Roman" w:eastAsia="黑体"/>
          <w:b/>
          <w:sz w:val="44"/>
          <w:szCs w:val="48"/>
        </w:rPr>
        <w:t>202</w:t>
      </w:r>
      <w:r>
        <w:rPr>
          <w:rFonts w:hint="eastAsia" w:ascii="黑体" w:eastAsia="黑体"/>
          <w:b/>
          <w:sz w:val="44"/>
          <w:szCs w:val="48"/>
          <w:lang w:val="en-US" w:eastAsia="zh-CN"/>
        </w:rPr>
        <w:t>4</w:t>
      </w:r>
      <w:r>
        <w:rPr>
          <w:rFonts w:hint="eastAsia" w:ascii="黑体" w:hAnsi="Times New Roman" w:eastAsia="黑体"/>
          <w:b/>
          <w:sz w:val="44"/>
          <w:szCs w:val="48"/>
        </w:rPr>
        <w:t>年第</w:t>
      </w:r>
      <w:r>
        <w:rPr>
          <w:rFonts w:hint="eastAsia" w:ascii="黑体" w:eastAsia="黑体"/>
          <w:b/>
          <w:sz w:val="44"/>
          <w:szCs w:val="48"/>
          <w:lang w:eastAsia="zh-CN"/>
        </w:rPr>
        <w:t>三</w:t>
      </w:r>
      <w:r>
        <w:rPr>
          <w:rFonts w:hint="eastAsia" w:ascii="黑体" w:hAnsi="Times New Roman" w:eastAsia="黑体"/>
          <w:b/>
          <w:sz w:val="44"/>
          <w:szCs w:val="48"/>
        </w:rPr>
        <w:t>季度报告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自2024-07-01起至2024-09-30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浙江德清农村商业银行股份有限公司“丰收喜悦”月月赢2号28天定期开放式净值型理财产品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2031-10-14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20,880,000.00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w:t>
            </w:r>
            <w:r>
              <w:rPr>
                <w:rFonts w:hint="eastAsia" w:ascii="宋体" w:hAnsi="宋体"/>
                <w:lang w:val="en-US" w:eastAsia="zh-CN"/>
              </w:rPr>
              <w:t>1.8</w:t>
            </w:r>
            <w:r>
              <w:rPr>
                <w:rFonts w:ascii="宋体" w:hAnsi="宋体"/>
              </w:rPr>
              <w:t>%-3.</w:t>
            </w:r>
            <w:r>
              <w:rPr>
                <w:rFonts w:hint="eastAsia" w:ascii="宋体" w:hAnsi="宋体"/>
                <w:lang w:val="en-US" w:eastAsia="zh-CN"/>
              </w:rPr>
              <w:t>0</w:t>
            </w:r>
            <w:r>
              <w:rPr>
                <w:rFonts w:ascii="宋体" w:hAnsi="宋体"/>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lang w:val="en-US" w:eastAsia="zh-CN"/>
              </w:rPr>
              <w:t>杠杆水平</w:t>
            </w:r>
          </w:p>
        </w:tc>
        <w:tc>
          <w:tcPr>
            <w:tcW w:w="5027" w:type="dxa"/>
            <w:vAlign w:val="center"/>
          </w:tcPr>
          <w:p>
            <w:pPr>
              <w:keepNext w:val="0"/>
              <w:keepLines w:val="0"/>
              <w:widowControl/>
              <w:suppressLineNumbers w:val="0"/>
              <w:jc w:val="left"/>
              <w:textAlignment w:val="center"/>
              <w:rPr>
                <w:rFonts w:ascii="宋体" w:hAnsi="宋体"/>
              </w:rPr>
            </w:pPr>
            <w:r>
              <w:rPr>
                <w:rFonts w:hint="eastAsia" w:ascii="宋体" w:hAnsi="宋体" w:eastAsia="宋体" w:cs="宋体"/>
                <w:i w:val="0"/>
                <w:iCs w:val="0"/>
                <w:color w:val="000000"/>
                <w:kern w:val="0"/>
                <w:sz w:val="22"/>
                <w:szCs w:val="22"/>
                <w:u w:val="none"/>
                <w:lang w:val="en-US" w:eastAsia="zh-CN" w:bidi="ar"/>
              </w:rPr>
              <w:t>100.0</w:t>
            </w:r>
            <w:r>
              <w:rPr>
                <w:rFonts w:hint="eastAsia" w:ascii="宋体" w:hAnsi="宋体" w:cs="宋体"/>
                <w:i w:val="0"/>
                <w:iCs w:val="0"/>
                <w:color w:val="000000"/>
                <w:kern w:val="0"/>
                <w:sz w:val="22"/>
                <w:szCs w:val="22"/>
                <w:u w:val="none"/>
                <w:lang w:val="en-US" w:eastAsia="zh-CN" w:bidi="ar"/>
              </w:rPr>
              <w:t>9</w:t>
            </w:r>
            <w:r>
              <w:rPr>
                <w:rFonts w:hint="eastAsia" w:ascii="宋体" w:hAnsi="宋体" w:eastAsia="宋体" w:cs="宋体"/>
                <w:i w:val="0"/>
                <w:iCs w:val="0"/>
                <w:color w:val="000000"/>
                <w:kern w:val="0"/>
                <w:sz w:val="22"/>
                <w:szCs w:val="22"/>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eastAsia="宋体" w:cs="宋体"/>
                <w:i w:val="0"/>
                <w:iCs w:val="0"/>
                <w:color w:val="000000"/>
                <w:kern w:val="0"/>
                <w:sz w:val="22"/>
                <w:szCs w:val="22"/>
                <w:u w:val="none"/>
                <w:lang w:val="en-US" w:eastAsia="zh-CN" w:bidi="ar"/>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rPr>
              <w:t>德清农商银行丰收喜悦月月赢2号28天定开净值型理财产品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rPr>
              <w:t>571905350610503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招商银行杭州分行营业部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eastAsia="zh-CN"/>
              </w:rPr>
              <w:t>风险等级</w:t>
            </w:r>
          </w:p>
        </w:tc>
        <w:tc>
          <w:tcPr>
            <w:tcW w:w="5027" w:type="dxa"/>
            <w:vAlign w:val="center"/>
          </w:tcPr>
          <w:p>
            <w:pPr>
              <w:jc w:val="left"/>
              <w:rPr>
                <w:rFonts w:hint="eastAsia" w:ascii="宋体" w:hAnsi="宋体"/>
              </w:rPr>
            </w:pPr>
            <w:r>
              <w:rPr>
                <w:rFonts w:hint="eastAsia"/>
                <w:lang w:val="en-US"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eastAsia="zh-CN"/>
              </w:rPr>
              <w:t>产品投资性质</w:t>
            </w:r>
          </w:p>
        </w:tc>
        <w:tc>
          <w:tcPr>
            <w:tcW w:w="5027" w:type="dxa"/>
            <w:vAlign w:val="center"/>
          </w:tcPr>
          <w:p>
            <w:pPr>
              <w:jc w:val="left"/>
              <w:rPr>
                <w:rFonts w:hint="eastAsia" w:ascii="宋体" w:hAnsi="宋体"/>
              </w:rPr>
            </w:pPr>
            <w:r>
              <w:rPr>
                <w:rFonts w:hint="eastAsia"/>
                <w:lang w:val="en-US"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2024-07-01</w:t>
            </w:r>
            <w:r>
              <w:rPr>
                <w:rFonts w:hint="eastAsia" w:ascii="宋体" w:hAnsi="宋体"/>
              </w:rPr>
              <w:t>至</w:t>
            </w:r>
            <w:r>
              <w:rPr>
                <w:rFonts w:ascii="宋体" w:hAnsi="宋体"/>
              </w:rPr>
              <w:t>2024-09-30</w:t>
            </w:r>
            <w:r>
              <w:rPr>
                <w:rFonts w:hint="eastAsia" w:ascii="宋体" w:hAnsi="宋体"/>
              </w:rPr>
              <w:t>）</w:t>
            </w:r>
          </w:p>
        </w:tc>
        <w:tc>
          <w:tcPr>
            <w:tcW w:w="5103" w:type="dxa"/>
            <w:vAlign w:val="center"/>
          </w:tcPr>
          <w:p>
            <w:pPr>
              <w:jc w:val="right"/>
            </w:pPr>
            <w: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7.96</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2024-07-01</w:t>
            </w:r>
            <w:r>
              <w:rPr>
                <w:rFonts w:hint="eastAsia"/>
                <w:b/>
              </w:rPr>
              <w:t xml:space="preserve">至 </w:t>
            </w:r>
            <w:r>
              <w:rPr>
                <w:b/>
              </w:rPr>
              <w:t>2024-09-30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78,842.58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62,579.58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20,879,836.75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0.9999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1.0796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20,879,836.75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0.9999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1.0796</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3,259,750.93</w:t>
            </w:r>
          </w:p>
        </w:tc>
        <w:tc>
          <w:tcPr>
            <w:tcW w:w="1705" w:type="dxa"/>
            <w:vAlign w:val="center"/>
          </w:tcPr>
          <w:p>
            <w:pPr>
              <w:jc w:val="right"/>
            </w:pPr>
            <w:r>
              <w:t>15.61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12,174,196.34</w:t>
            </w:r>
          </w:p>
        </w:tc>
        <w:tc>
          <w:tcPr>
            <w:tcW w:w="1705" w:type="dxa"/>
            <w:vAlign w:val="center"/>
          </w:tcPr>
          <w:p>
            <w:pPr>
              <w:jc w:val="right"/>
            </w:pPr>
            <w:r>
              <w:t>58.31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12,174,196.34</w:t>
            </w:r>
          </w:p>
        </w:tc>
        <w:tc>
          <w:tcPr>
            <w:tcW w:w="1705" w:type="dxa"/>
            <w:vAlign w:val="center"/>
          </w:tcPr>
          <w:p>
            <w:pPr>
              <w:jc w:val="right"/>
            </w:pPr>
            <w:r>
              <w:t>58.31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5,407,919.24</w:t>
            </w:r>
          </w:p>
        </w:tc>
        <w:tc>
          <w:tcPr>
            <w:tcW w:w="1705" w:type="dxa"/>
            <w:vAlign w:val="center"/>
          </w:tcPr>
          <w:p>
            <w:pPr>
              <w:jc w:val="right"/>
            </w:pPr>
            <w:r>
              <w:t>25.90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57,299.85</w:t>
            </w:r>
          </w:p>
        </w:tc>
        <w:tc>
          <w:tcPr>
            <w:tcW w:w="1705" w:type="dxa"/>
            <w:vAlign w:val="center"/>
          </w:tcPr>
          <w:p>
            <w:pPr>
              <w:jc w:val="right"/>
            </w:pPr>
            <w:r>
              <w:t>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20,880,000.00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26.16</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20,880,000.00</w:t>
            </w:r>
          </w:p>
        </w:tc>
        <w:tc>
          <w:tcPr>
            <w:tcW w:w="1749" w:type="dxa"/>
            <w:shd w:val="clear" w:color="auto" w:fill="auto"/>
          </w:tcPr>
          <w:p>
            <w:pPr>
              <w:jc w:val="right"/>
            </w:pPr>
            <w:r>
              <w:t>100.00</w:t>
            </w:r>
          </w:p>
        </w:tc>
        <w:tc>
          <w:tcPr>
            <w:tcW w:w="1653" w:type="dxa"/>
          </w:tcPr>
          <w:p>
            <w:pPr>
              <w:jc w:val="right"/>
            </w:pPr>
            <w:r>
              <w:t>20,899,192.51</w:t>
            </w:r>
          </w:p>
        </w:tc>
        <w:tc>
          <w:tcPr>
            <w:tcW w:w="1705" w:type="dxa"/>
          </w:tcPr>
          <w:p>
            <w:pPr>
              <w:jc w:val="right"/>
            </w:pPr>
            <w:r>
              <w:t>100.09</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宋体" w:hAnsi="宋体"/>
          <w:sz w:val="24"/>
        </w:rPr>
      </w:pPr>
      <w:r>
        <w:rPr>
          <w:rFonts w:hint="eastAsia" w:ascii="宋体" w:hAnsi="宋体"/>
          <w:sz w:val="24"/>
          <w:lang w:eastAsia="zh-CN"/>
        </w:rPr>
        <w:t>报告期内，本产品未发生重大流动性风险事件。</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财通证券资管月月赢2号集合资产管理计划</w:t>
            </w:r>
          </w:p>
        </w:tc>
        <w:tc>
          <w:tcPr>
            <w:tcW w:w="2693" w:type="dxa"/>
            <w:shd w:val="clear" w:color="auto" w:fill="auto"/>
            <w:vAlign w:val="center"/>
          </w:tcPr>
          <w:p>
            <w:pPr>
              <w:jc w:val="right"/>
            </w:pPr>
            <w:r>
              <w:t>20,880,000.00</w:t>
            </w:r>
          </w:p>
        </w:tc>
        <w:tc>
          <w:tcPr>
            <w:tcW w:w="2431" w:type="dxa"/>
            <w:shd w:val="clear" w:color="auto" w:fill="auto"/>
            <w:vAlign w:val="center"/>
          </w:tcPr>
          <w:p>
            <w:pPr>
              <w:jc w:val="right"/>
            </w:pPr>
            <w:bookmarkStart w:id="3" w:name="OLE_LINK5"/>
            <w:bookmarkStart w:id="4" w:name="OLE_LINK6"/>
            <w:r>
              <w:t>100.00</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541"/>
        <w:gridCol w:w="2801"/>
        <w:gridCol w:w="2398"/>
        <w:gridCol w:w="2320"/>
      </w:tblGrid>
      <w:tr>
        <w:tblPrEx>
          <w:tblLayout w:type="fixed"/>
          <w:tblCellMar>
            <w:top w:w="0" w:type="dxa"/>
            <w:left w:w="0" w:type="dxa"/>
            <w:bottom w:w="0" w:type="dxa"/>
            <w:right w:w="0" w:type="dxa"/>
          </w:tblCellMar>
        </w:tblPrEx>
        <w:trPr>
          <w:trHeight w:val="744" w:hRule="atLeast"/>
          <w:jc w:val="center"/>
        </w:trPr>
        <w:tc>
          <w:tcPr>
            <w:tcW w:w="1541"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8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398"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2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rPr>
                <w:rFonts w:hint="eastAsia" w:eastAsia="宋体"/>
                <w:lang w:val="en-US" w:eastAsia="zh-CN"/>
              </w:rPr>
            </w:pPr>
            <w:r>
              <w:rPr>
                <w:rFonts w:hint="eastAsia"/>
                <w:b/>
                <w:bCs/>
                <w:lang w:val="en-US" w:eastAsia="zh-CN"/>
              </w:rPr>
              <w:t>占产品资产净值比例（%）</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上交所质押式回购</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5,407,919.24</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25.90</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国联盈泽中短债E</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1,100,553.61</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5.27</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24九国D2</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1,097,585.91</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5.26</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山西证券超短债A</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1,097,477.96</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5.26</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24瀚控D1</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887,829.91</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4.25</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23沛兴D</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843,206.95</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4.04</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24长寿05</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829,624.23</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3.97</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24迈瑞D2</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829,617.49</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3.97</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24渝合D1</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828,220.62</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3.97</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24恒业D1</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805,436.63</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3.86</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2024-10-</w:t>
      </w:r>
      <w:r>
        <w:rPr>
          <w:rFonts w:hint="eastAsia" w:ascii="宋体" w:hAnsi="宋体"/>
          <w:sz w:val="28"/>
          <w:szCs w:val="28"/>
          <w:lang w:val="en-US" w:eastAsia="zh-CN"/>
        </w:rPr>
        <w:t>23</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30D863E3"/>
    <w:rsid w:val="35706056"/>
    <w:rsid w:val="35844C1F"/>
    <w:rsid w:val="378A66D0"/>
    <w:rsid w:val="4B8D59CF"/>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2024-10-25T08:23:52Z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D87577B2AB004D78AF4EDE32973003DC</vt:lpwstr>
  </property>
</Properties>
</file>