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德清农商银行丰收信福202</w:t>
      </w:r>
      <w:r>
        <w:rPr>
          <w:rFonts w:hint="eastAsia" w:ascii="黑体" w:hAnsi="宋体" w:eastAsia="黑体"/>
          <w:b/>
          <w:bCs/>
          <w:color w:val="000000"/>
          <w:sz w:val="48"/>
          <w:szCs w:val="48"/>
          <w:lang w:val="en-US" w:eastAsia="zh-CN"/>
        </w:rPr>
        <w:t>4</w:t>
      </w:r>
      <w:r>
        <w:rPr>
          <w:rFonts w:hint="eastAsia" w:ascii="黑体" w:hAnsi="宋体" w:eastAsia="黑体"/>
          <w:b/>
          <w:bCs/>
          <w:color w:val="000000"/>
          <w:sz w:val="48"/>
          <w:szCs w:val="48"/>
        </w:rPr>
        <w:t>年第</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1期封闭净值型人民币理财产品</w:t>
      </w:r>
    </w:p>
    <w:p>
      <w:pPr>
        <w:jc w:val="center"/>
        <w:rPr>
          <w:rFonts w:ascii="宋体" w:hAnsi="宋体"/>
          <w:b/>
          <w:bCs/>
          <w:sz w:val="48"/>
          <w:szCs w:val="30"/>
        </w:rPr>
      </w:pPr>
      <w:r>
        <w:rPr>
          <w:rFonts w:hint="eastAsia" w:ascii="黑体" w:hAnsi="Times New Roman" w:eastAsia="黑体"/>
          <w:b/>
          <w:sz w:val="44"/>
          <w:szCs w:val="48"/>
        </w:rPr>
        <w:t>2024年第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自2024-10-01起至2024-12-31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4</w:t>
            </w:r>
            <w:r>
              <w:rPr>
                <w:rFonts w:hint="eastAsia" w:ascii="宋体" w:hAnsi="宋体"/>
              </w:rPr>
              <w:t>年第</w:t>
            </w:r>
            <w:r>
              <w:rPr>
                <w:rFonts w:hint="eastAsia" w:ascii="宋体" w:hAnsi="宋体"/>
                <w:lang w:val="en-US" w:eastAsia="zh-CN"/>
              </w:rPr>
              <w:t>21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C1124624000020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2024-07-18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2025-07-18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10,540,000.00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[2.7%-2.8%]/年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2024-10-01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1.32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2024-10-01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154,230.68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10,679,270.48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1.0132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1,484,169.30</w:t>
            </w:r>
          </w:p>
        </w:tc>
        <w:tc>
          <w:tcPr>
            <w:tcW w:w="1705" w:type="dxa"/>
            <w:vAlign w:val="center"/>
          </w:tcPr>
          <w:p>
            <w:pPr>
              <w:jc w:val="right"/>
            </w:pPr>
            <w:r>
              <w:t>13.86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10,270,742.37</w:t>
            </w:r>
          </w:p>
        </w:tc>
        <w:tc>
          <w:tcPr>
            <w:tcW w:w="1705" w:type="dxa"/>
            <w:vAlign w:val="center"/>
          </w:tcPr>
          <w:p>
            <w:pPr>
              <w:jc w:val="right"/>
            </w:pPr>
            <w:r>
              <w:t>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9,630,621.58</w:t>
            </w:r>
          </w:p>
        </w:tc>
        <w:tc>
          <w:tcPr>
            <w:tcW w:w="1705" w:type="dxa"/>
            <w:vAlign w:val="center"/>
          </w:tcPr>
          <w:p>
            <w:pPr>
              <w:jc w:val="right"/>
            </w:pPr>
            <w:r>
              <w:t>89.94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640,120.79</w:t>
            </w:r>
          </w:p>
        </w:tc>
        <w:tc>
          <w:tcPr>
            <w:tcW w:w="1705" w:type="dxa"/>
            <w:vAlign w:val="center"/>
          </w:tcPr>
          <w:p>
            <w:pPr>
              <w:jc w:val="right"/>
            </w:pPr>
            <w: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52,171.45</w:t>
            </w:r>
          </w:p>
        </w:tc>
        <w:tc>
          <w:tcPr>
            <w:tcW w:w="1705" w:type="dxa"/>
            <w:vAlign w:val="center"/>
          </w:tcPr>
          <w:p>
            <w:pPr>
              <w:jc w:val="right"/>
            </w:pPr>
            <w: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10,708,347.23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1,072.84</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10,708,347.23</w:t>
            </w:r>
          </w:p>
        </w:tc>
        <w:tc>
          <w:tcPr>
            <w:tcW w:w="1749" w:type="dxa"/>
            <w:shd w:val="clear" w:color="auto" w:fill="auto"/>
          </w:tcPr>
          <w:p>
            <w:pPr>
              <w:jc w:val="right"/>
            </w:pPr>
            <w:r>
              <w:t>100.00</w:t>
            </w:r>
          </w:p>
        </w:tc>
        <w:tc>
          <w:tcPr>
            <w:tcW w:w="1653" w:type="dxa"/>
          </w:tcPr>
          <w:p>
            <w:pPr>
              <w:jc w:val="right"/>
            </w:pPr>
            <w:r>
              <w:t>11,808,155.96</w:t>
            </w:r>
          </w:p>
        </w:tc>
        <w:tc>
          <w:tcPr>
            <w:tcW w:w="1705" w:type="dxa"/>
          </w:tcPr>
          <w:p>
            <w:pPr>
              <w:jc w:val="right"/>
            </w:pPr>
            <w:r>
              <w:t>110.27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bookmarkStart w:id="5" w:name="_GoBack"/>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中信证券丰收信益6号集合资产管理计划</w:t>
            </w:r>
          </w:p>
        </w:tc>
        <w:tc>
          <w:tcPr>
            <w:tcW w:w="2693" w:type="dxa"/>
            <w:shd w:val="clear" w:color="auto" w:fill="auto"/>
            <w:vAlign w:val="center"/>
          </w:tcPr>
          <w:p>
            <w:pPr>
              <w:jc w:val="right"/>
            </w:pPr>
            <w:r>
              <w:t>10,708,347.23</w:t>
            </w:r>
          </w:p>
        </w:tc>
        <w:tc>
          <w:tcPr>
            <w:tcW w:w="2431" w:type="dxa"/>
            <w:shd w:val="clear" w:color="auto" w:fill="auto"/>
            <w:vAlign w:val="center"/>
          </w:tcPr>
          <w:p>
            <w:pPr>
              <w:jc w:val="right"/>
            </w:pPr>
            <w:bookmarkStart w:id="3" w:name="OLE_LINK5"/>
            <w:bookmarkStart w:id="4" w:name="OLE_LINK6"/>
            <w:r>
              <w:t>100.27</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512,114.47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易方达稳健收益债券B</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376,468.67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易方达双债增强债券C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376,105.92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土地01优</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221,338.46</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219,480.23</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2.06</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21恒丰银行永续债</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217,372.12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23唐山银行永续债02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202,163.79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21鄞州农商永续债01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192,447.11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22建工Y6</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191,846.20</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20三峡银行永续债01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189,015.79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2025-01-</w:t>
      </w:r>
      <w:r>
        <w:rPr>
          <w:rFonts w:hint="eastAsia" w:ascii="宋体" w:hAnsi="宋体"/>
          <w:sz w:val="28"/>
          <w:szCs w:val="28"/>
          <w:lang w:val="en-US" w:eastAsia="zh-CN"/>
        </w:rPr>
        <w:t>21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DD13355"/>
    <w:rsid w:val="1F246194"/>
    <w:rsid w:val="30D863E3"/>
    <w:rsid w:val="35844C1F"/>
    <w:rsid w:val="378A66D0"/>
    <w:rsid w:val="49C8771C"/>
    <w:rsid w:val="63BE4DA7"/>
    <w:rsid w:val="6CB6511A"/>
    <w:rsid w:val="72A65BBE"/>
    <w:rsid w:val="76A0314F"/>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2025-01-21T07:55:05Z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