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w:t>
      </w:r>
      <w:r>
        <w:rPr>
          <w:rFonts w:hint="eastAsia" w:ascii="黑体" w:hAnsi="宋体" w:eastAsia="黑体"/>
          <w:b/>
          <w:bCs/>
          <w:color w:val="000000"/>
          <w:sz w:val="48"/>
          <w:szCs w:val="48"/>
          <w:lang w:val="en-US" w:eastAsia="zh-CN"/>
        </w:rPr>
        <w:t>4</w:t>
      </w:r>
      <w:r>
        <w:rPr>
          <w:rFonts w:hint="eastAsia" w:ascii="黑体" w:hAnsi="宋体" w:eastAsia="黑体"/>
          <w:b/>
          <w:bCs/>
          <w:color w:val="000000"/>
          <w:sz w:val="48"/>
          <w:szCs w:val="48"/>
        </w:rPr>
        <w:t>年第</w:t>
      </w:r>
      <w:r>
        <w:rPr>
          <w:rFonts w:hint="eastAsia" w:ascii="黑体" w:hAnsi="宋体" w:eastAsia="黑体"/>
          <w:b/>
          <w:bCs/>
          <w:color w:val="000000"/>
          <w:sz w:val="48"/>
          <w:szCs w:val="48"/>
          <w:lang w:val="en-US" w:eastAsia="zh-CN"/>
        </w:rPr>
        <w:t>22</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hint="eastAsia" w:ascii="黑体" w:hAnsi="宋体" w:eastAsia="黑体"/>
          <w:b/>
          <w:bCs/>
          <w:color w:val="000000"/>
          <w:sz w:val="48"/>
          <w:szCs w:val="48"/>
        </w:rPr>
        <w:t>2024年年度报告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自2024-07-25起至2024-12-31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4</w:t>
            </w:r>
            <w:r>
              <w:rPr>
                <w:rFonts w:hint="eastAsia" w:ascii="宋体" w:hAnsi="宋体"/>
              </w:rPr>
              <w:t>年第</w:t>
            </w:r>
            <w:r>
              <w:rPr>
                <w:rFonts w:hint="eastAsia" w:ascii="宋体" w:hAnsi="宋体"/>
                <w:lang w:val="en-US" w:eastAsia="zh-CN"/>
              </w:rPr>
              <w:t>22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C1124624000019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2024-07-25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2025-07-25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r>
              <w:rPr>
                <w:rFonts w:hint="eastAsia" w:ascii="宋体" w:hAnsi="宋体"/>
              </w:rPr>
              <w:t>10,980,000.00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[2.7%-2.8%]/年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110.27%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德清农商银行丰收信福2024年第2</w:t>
            </w:r>
            <w:r>
              <w:rPr>
                <w:rFonts w:hint="eastAsia" w:ascii="宋体" w:hAnsi="宋体"/>
                <w:lang w:val="en-US" w:eastAsia="zh-CN"/>
              </w:rPr>
              <w:t>2</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9559100053100</w:t>
            </w:r>
            <w:r>
              <w:rPr>
                <w:rFonts w:hint="eastAsia" w:ascii="宋体" w:hAnsi="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lang w:val="en-US" w:eastAsia="zh-CN"/>
              </w:rPr>
              <w:t>托管户账户开户行</w:t>
            </w:r>
          </w:p>
        </w:tc>
        <w:tc>
          <w:tcPr>
            <w:tcW w:w="5027" w:type="dxa"/>
            <w:vAlign w:val="center"/>
          </w:tcPr>
          <w:p>
            <w:pPr>
              <w:jc w:val="left"/>
              <w:rPr>
                <w:rFonts w:ascii="宋体" w:hAnsi="宋体"/>
              </w:rPr>
            </w:pPr>
            <w:r>
              <w:rPr>
                <w:rFonts w:hint="eastAsia" w:ascii="宋体" w:hAnsi="宋体"/>
              </w:rPr>
              <w:t>招商银行股份有限公司杭州分行</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2024-07-25</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pPr>
            <w: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1.23</w:t>
            </w:r>
            <w:bookmarkStart w:id="0" w:name="OLE_LINK4"/>
            <w:bookmarkEnd w:id="0"/>
            <w:bookmarkStart w:id="1" w:name="OLE_LINK7"/>
            <w:bookmarkEnd w:id="1"/>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2024-07-25</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-718.98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134,768.22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11,114,768.22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1.0123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1,542,511.77</w:t>
            </w:r>
          </w:p>
        </w:tc>
        <w:tc>
          <w:tcPr>
            <w:tcW w:w="1705" w:type="dxa"/>
            <w:vAlign w:val="center"/>
          </w:tcPr>
          <w:p>
            <w:pPr>
              <w:jc w:val="right"/>
            </w:pPr>
            <w:r>
              <w:t>13.86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10,674,483.69</w:t>
            </w:r>
          </w:p>
        </w:tc>
        <w:tc>
          <w:tcPr>
            <w:tcW w:w="1705" w:type="dxa"/>
            <w:vAlign w:val="center"/>
          </w:tcPr>
          <w:p>
            <w:pPr>
              <w:jc w:val="right"/>
            </w:pPr>
            <w:r>
              <w:t>95.91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10,009,199.85</w:t>
            </w:r>
          </w:p>
        </w:tc>
        <w:tc>
          <w:tcPr>
            <w:tcW w:w="1705" w:type="dxa"/>
            <w:vAlign w:val="center"/>
          </w:tcPr>
          <w:p>
            <w:pPr>
              <w:jc w:val="right"/>
            </w:pPr>
            <w:r>
              <w:t>89.94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665,283.84</w:t>
            </w:r>
          </w:p>
        </w:tc>
        <w:tc>
          <w:tcPr>
            <w:tcW w:w="1705" w:type="dxa"/>
            <w:vAlign w:val="center"/>
          </w:tcPr>
          <w:p>
            <w:pPr>
              <w:jc w:val="right"/>
            </w:pPr>
            <w: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54,222.30</w:t>
            </w:r>
          </w:p>
        </w:tc>
        <w:tc>
          <w:tcPr>
            <w:tcW w:w="1705" w:type="dxa"/>
            <w:vAlign w:val="center"/>
          </w:tcPr>
          <w:p>
            <w:pPr>
              <w:jc w:val="right"/>
            </w:pPr>
            <w: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11,129,290.73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1,115.01</w:t>
            </w:r>
          </w:p>
        </w:tc>
        <w:tc>
          <w:tcPr>
            <w:tcW w:w="1705" w:type="dxa"/>
            <w:vAlign w:val="center"/>
          </w:tcPr>
          <w:p>
            <w:pPr>
              <w:jc w:val="right"/>
            </w:pPr>
            <w: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11,129,290.73</w:t>
            </w:r>
          </w:p>
        </w:tc>
        <w:tc>
          <w:tcPr>
            <w:tcW w:w="1749" w:type="dxa"/>
            <w:shd w:val="clear" w:color="auto" w:fill="auto"/>
          </w:tcPr>
          <w:p>
            <w:pPr>
              <w:jc w:val="right"/>
            </w:pPr>
            <w:r>
              <w:t>100.00</w:t>
            </w:r>
          </w:p>
        </w:tc>
        <w:tc>
          <w:tcPr>
            <w:tcW w:w="1653" w:type="dxa"/>
          </w:tcPr>
          <w:p>
            <w:pPr>
              <w:jc w:val="right"/>
            </w:pPr>
            <w:r>
              <w:t>12,272,332.77</w:t>
            </w:r>
          </w:p>
        </w:tc>
        <w:tc>
          <w:tcPr>
            <w:tcW w:w="1705" w:type="dxa"/>
          </w:tcPr>
          <w:p>
            <w:pPr>
              <w:jc w:val="right"/>
            </w:pPr>
            <w:r>
              <w:t>110.27</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ind w:firstLine="420" w:firstLineChars="200"/>
        <w:jc w:val="left"/>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中信证券丰收信益6号集合资产管理计划</w:t>
            </w:r>
          </w:p>
        </w:tc>
        <w:tc>
          <w:tcPr>
            <w:tcW w:w="2693" w:type="dxa"/>
            <w:shd w:val="clear" w:color="auto" w:fill="auto"/>
            <w:vAlign w:val="center"/>
          </w:tcPr>
          <w:p>
            <w:pPr>
              <w:jc w:val="right"/>
            </w:pPr>
            <w:r>
              <w:t>11,129,290.73</w:t>
            </w:r>
          </w:p>
        </w:tc>
        <w:tc>
          <w:tcPr>
            <w:tcW w:w="2431" w:type="dxa"/>
            <w:shd w:val="clear" w:color="auto" w:fill="auto"/>
            <w:vAlign w:val="center"/>
          </w:tcPr>
          <w:p>
            <w:pPr>
              <w:jc w:val="right"/>
            </w:pPr>
            <w:bookmarkStart w:id="2" w:name="OLE_LINK5"/>
            <w:bookmarkStart w:id="3" w:name="OLE_LINK6"/>
            <w:r>
              <w:t>100.13</w:t>
            </w:r>
            <w:bookmarkEnd w:id="2"/>
            <w:bookmarkEnd w:id="3"/>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541"/>
        <w:gridCol w:w="2801"/>
        <w:gridCol w:w="2398"/>
        <w:gridCol w:w="2320"/>
      </w:tblGrid>
      <w:tr>
        <w:tblPrEx>
          <w:tblLayout w:type="fixed"/>
          <w:tblCellMar>
            <w:top w:w="0" w:type="dxa"/>
            <w:left w:w="0" w:type="dxa"/>
            <w:bottom w:w="0" w:type="dxa"/>
            <w:right w:w="0" w:type="dxa"/>
          </w:tblCellMar>
        </w:tblPrEx>
        <w:trPr>
          <w:trHeight w:val="744" w:hRule="atLeast"/>
          <w:jc w:val="center"/>
        </w:trPr>
        <w:tc>
          <w:tcPr>
            <w:tcW w:w="1541"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8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398"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2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财通安瑞短债债券A</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532,245.61</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易方达稳健收益债券B</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391,267.60</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易方达双债增强债券C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390,890.59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3.52</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土地01优</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230,039.24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2.07</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财通安瑞短债债券C</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228,107.97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2.05</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21恒丰银行永续债</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225,916.99</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2.03</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23唐山银行永续债02</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210,110.82</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21鄞州农商永续债01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200,012.18</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22建工Y6</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199,387.64</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w:t>
            </w:r>
          </w:p>
        </w:tc>
      </w:tr>
      <w:tr>
        <w:tblPrEx>
          <w:tblLayout w:type="fixed"/>
          <w:tblCellMar>
            <w:top w:w="0" w:type="dxa"/>
            <w:left w:w="0" w:type="dxa"/>
            <w:bottom w:w="0" w:type="dxa"/>
            <w:right w:w="0" w:type="dxa"/>
          </w:tblCellMar>
        </w:tblPrEx>
        <w:trPr>
          <w:jc w:val="center"/>
        </w:trPr>
        <w:tc>
          <w:tcPr>
            <w:tcW w:w="1541"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801"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20三峡银行永续债01</w:t>
            </w:r>
          </w:p>
        </w:tc>
        <w:tc>
          <w:tcPr>
            <w:tcW w:w="2398"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196,445.97</w:t>
            </w:r>
          </w:p>
        </w:tc>
        <w:tc>
          <w:tcPr>
            <w:tcW w:w="232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2025-0</w:t>
      </w:r>
      <w:r>
        <w:rPr>
          <w:rFonts w:hint="eastAsia" w:ascii="宋体" w:hAnsi="宋体"/>
          <w:sz w:val="28"/>
          <w:szCs w:val="28"/>
          <w:lang w:val="en-US" w:eastAsia="zh-CN"/>
        </w:rPr>
        <w:t>2</w:t>
      </w:r>
      <w:r>
        <w:rPr>
          <w:rFonts w:ascii="宋体" w:hAnsi="宋体"/>
          <w:sz w:val="28"/>
          <w:szCs w:val="28"/>
        </w:rPr>
        <w:t>-1</w:t>
      </w:r>
      <w:r>
        <w:rPr>
          <w:rFonts w:hint="eastAsia" w:ascii="宋体" w:hAnsi="宋体"/>
          <w:sz w:val="28"/>
          <w:szCs w:val="28"/>
          <w:lang w:val="en-US" w:eastAsia="zh-CN"/>
        </w:rPr>
        <w:t>4</w:t>
      </w:r>
      <w:bookmarkStart w:id="4" w:name="_GoBack"/>
      <w:bookmarkEnd w:id="4"/>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DD13355"/>
    <w:rsid w:val="1F246194"/>
    <w:rsid w:val="265C3658"/>
    <w:rsid w:val="30D863E3"/>
    <w:rsid w:val="35844C1F"/>
    <w:rsid w:val="378A66D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2025-03-06T02:17:53Z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ies>
</file>