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黑体" w:hAnsi="宋体" w:eastAsia="黑体"/>
          <w:b/>
          <w:bCs/>
          <w:color w:val="000000"/>
          <w:sz w:val="48"/>
          <w:szCs w:val="48"/>
        </w:rPr>
        <w:t>德清农商银行丰收信福202</w:t>
      </w:r>
      <w:r>
        <w:rPr>
          <w:rFonts w:hint="eastAsia" w:ascii="黑体" w:hAnsi="宋体" w:eastAsia="黑体"/>
          <w:b/>
          <w:bCs/>
          <w:color w:val="000000"/>
          <w:sz w:val="48"/>
          <w:szCs w:val="48"/>
          <w:lang w:val="en-US" w:eastAsia="zh-CN"/>
        </w:rPr>
        <w:t>4</w:t>
      </w:r>
      <w:r>
        <w:rPr>
          <w:rFonts w:hint="eastAsia" w:ascii="黑体" w:hAnsi="宋体" w:eastAsia="黑体"/>
          <w:b/>
          <w:bCs/>
          <w:color w:val="000000"/>
          <w:sz w:val="48"/>
          <w:szCs w:val="48"/>
        </w:rPr>
        <w:t>年第</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1期封闭净值型人民币理财产品</w:t>
      </w: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2024年年度报告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自2024-07-18起至2024-12-31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4</w:t>
            </w:r>
            <w:r>
              <w:rPr>
                <w:rFonts w:hint="eastAsia" w:ascii="宋体" w:hAnsi="宋体"/>
              </w:rPr>
              <w:t>年第</w:t>
            </w:r>
            <w:r>
              <w:rPr>
                <w:rFonts w:hint="eastAsia" w:ascii="宋体" w:hAnsi="宋体"/>
                <w:lang w:val="en-US" w:eastAsia="zh-CN"/>
              </w:rPr>
              <w:t>21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C1124624000020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2024-07-18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2025-07-18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r>
              <w:rPr>
                <w:rFonts w:hint="eastAsia" w:ascii="宋体" w:hAnsi="宋体"/>
              </w:rPr>
              <w:t>10,540,000.00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[2.7%-2.8%]/年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德清农商银行丰收信福2024年第21期封闭净值型人民币理财产品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95591000531003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托管户账户开户行</w:t>
            </w:r>
          </w:p>
        </w:tc>
        <w:tc>
          <w:tcPr>
            <w:tcW w:w="5027" w:type="dxa"/>
            <w:vAlign w:val="center"/>
          </w:tcPr>
          <w:p>
            <w:pPr>
              <w:jc w:val="left"/>
              <w:rPr>
                <w:rFonts w:ascii="宋体" w:hAnsi="宋体"/>
              </w:rPr>
            </w:pPr>
            <w:r>
              <w:rPr>
                <w:rFonts w:hint="eastAsia" w:ascii="宋体" w:hAnsi="宋体"/>
              </w:rPr>
              <w:t>招商银行股份有限公司杭州分行</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2024-07-18</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1.32</w:t>
            </w:r>
            <w:bookmarkStart w:id="0" w:name="OLE_LINK7"/>
            <w:bookmarkEnd w:id="0"/>
            <w:bookmarkStart w:id="1" w:name="OLE_LINK4"/>
            <w:bookmarkEnd w:id="1"/>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2024-07-18</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139,270.48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10,679,270.48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1.0132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1,484,169.30</w:t>
            </w:r>
          </w:p>
        </w:tc>
        <w:tc>
          <w:tcPr>
            <w:tcW w:w="1705" w:type="dxa"/>
            <w:vAlign w:val="center"/>
          </w:tcPr>
          <w:p>
            <w:pPr>
              <w:jc w:val="right"/>
            </w:pPr>
            <w:r>
              <w:t>13.86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10,270,742.37</w:t>
            </w:r>
          </w:p>
        </w:tc>
        <w:tc>
          <w:tcPr>
            <w:tcW w:w="1705" w:type="dxa"/>
            <w:vAlign w:val="center"/>
          </w:tcPr>
          <w:p>
            <w:pPr>
              <w:jc w:val="right"/>
            </w:pPr>
            <w:r>
              <w:t>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9,630,621.58</w:t>
            </w:r>
          </w:p>
        </w:tc>
        <w:tc>
          <w:tcPr>
            <w:tcW w:w="1705" w:type="dxa"/>
            <w:vAlign w:val="center"/>
          </w:tcPr>
          <w:p>
            <w:pPr>
              <w:jc w:val="right"/>
            </w:pPr>
            <w:r>
              <w:t>89.94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640,120.79</w:t>
            </w:r>
          </w:p>
        </w:tc>
        <w:tc>
          <w:tcPr>
            <w:tcW w:w="1705" w:type="dxa"/>
            <w:vAlign w:val="center"/>
          </w:tcPr>
          <w:p>
            <w:pPr>
              <w:jc w:val="right"/>
            </w:pPr>
            <w: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52,171.45</w:t>
            </w:r>
          </w:p>
        </w:tc>
        <w:tc>
          <w:tcPr>
            <w:tcW w:w="1705" w:type="dxa"/>
            <w:vAlign w:val="center"/>
          </w:tcPr>
          <w:p>
            <w:pPr>
              <w:jc w:val="right"/>
            </w:pPr>
            <w: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10,708,347.23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1,072.84</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10,708,347.23</w:t>
            </w:r>
          </w:p>
        </w:tc>
        <w:tc>
          <w:tcPr>
            <w:tcW w:w="1749" w:type="dxa"/>
            <w:shd w:val="clear" w:color="auto" w:fill="auto"/>
          </w:tcPr>
          <w:p>
            <w:pPr>
              <w:jc w:val="right"/>
            </w:pPr>
            <w:r>
              <w:t>100.00</w:t>
            </w:r>
          </w:p>
        </w:tc>
        <w:tc>
          <w:tcPr>
            <w:tcW w:w="1653" w:type="dxa"/>
          </w:tcPr>
          <w:p>
            <w:pPr>
              <w:jc w:val="right"/>
            </w:pPr>
            <w:r>
              <w:t>11,808,155.96</w:t>
            </w:r>
          </w:p>
        </w:tc>
        <w:tc>
          <w:tcPr>
            <w:tcW w:w="1705" w:type="dxa"/>
          </w:tcPr>
          <w:p>
            <w:pPr>
              <w:jc w:val="right"/>
            </w:pPr>
            <w:r>
              <w:t>110.27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中信证券丰收信益6号集合资产管理计划</w:t>
            </w:r>
          </w:p>
        </w:tc>
        <w:tc>
          <w:tcPr>
            <w:tcW w:w="2693" w:type="dxa"/>
            <w:shd w:val="clear" w:color="auto" w:fill="auto"/>
            <w:vAlign w:val="center"/>
          </w:tcPr>
          <w:p>
            <w:pPr>
              <w:jc w:val="right"/>
            </w:pPr>
            <w:r>
              <w:t>10,708,347.23</w:t>
            </w:r>
          </w:p>
        </w:tc>
        <w:tc>
          <w:tcPr>
            <w:tcW w:w="2431" w:type="dxa"/>
            <w:shd w:val="clear" w:color="auto" w:fill="auto"/>
            <w:vAlign w:val="center"/>
          </w:tcPr>
          <w:p>
            <w:pPr>
              <w:jc w:val="right"/>
            </w:pPr>
            <w:bookmarkStart w:id="2" w:name="OLE_LINK5"/>
            <w:bookmarkStart w:id="3" w:name="OLE_LINK6"/>
            <w:r>
              <w:t>100.27</w:t>
            </w:r>
            <w:bookmarkEnd w:id="2"/>
            <w:bookmarkEnd w:id="3"/>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512,114.47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易方达稳健收益债券B</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376,468.67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易方达双债增强债券C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376,105.92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土地01优</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221,338.46</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219,480.23</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2.06</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21恒丰银行永续债</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217,372.12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23唐山银行永续债02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202,163.79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21鄞州农商永续债01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192,447.11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22建工Y6</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191,846.20</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20三峡银行永续债01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189,015.79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w:t>
      </w:r>
      <w:r>
        <w:rPr>
          <w:rFonts w:hint="eastAsia" w:ascii="宋体" w:hAnsi="宋体"/>
          <w:sz w:val="28"/>
          <w:szCs w:val="28"/>
          <w:lang w:val="en-US" w:eastAsia="zh-CN"/>
        </w:rPr>
        <w:t>2</w:t>
      </w:r>
      <w:r>
        <w:rPr>
          <w:rFonts w:ascii="宋体" w:hAnsi="宋体"/>
          <w:sz w:val="28"/>
          <w:szCs w:val="28"/>
        </w:rPr>
        <w:t>-1</w:t>
      </w:r>
      <w:r>
        <w:rPr>
          <w:rFonts w:hint="eastAsia" w:ascii="宋体" w:hAnsi="宋体"/>
          <w:sz w:val="28"/>
          <w:szCs w:val="28"/>
          <w:lang w:val="en-US" w:eastAsia="zh-CN"/>
        </w:rPr>
        <w:t>4</w:t>
      </w:r>
      <w:bookmarkStart w:id="4" w:name="_GoBack"/>
      <w:bookmarkEnd w:id="4"/>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30D863E3"/>
    <w:rsid w:val="35844C1F"/>
    <w:rsid w:val="378A66D0"/>
    <w:rsid w:val="63BE4DA7"/>
    <w:rsid w:val="6CB6511A"/>
    <w:rsid w:val="6E2E027D"/>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2025-03-06T02:15:05Z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