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2025年第</w:t>
      </w:r>
      <w:r>
        <w:rPr>
          <w:rFonts w:hint="eastAsia" w:ascii="黑体" w:hAnsi="宋体" w:eastAsia="黑体"/>
          <w:b/>
          <w:bCs/>
          <w:color w:val="000000"/>
          <w:sz w:val="48"/>
          <w:szCs w:val="48"/>
          <w:lang w:val="en-US" w:eastAsia="zh-CN"/>
        </w:rPr>
        <w:t>1</w:t>
      </w:r>
      <w:r>
        <w:rPr>
          <w:rFonts w:hint="eastAsia" w:ascii="黑体" w:hAnsi="宋体" w:eastAsia="黑体"/>
          <w:b/>
          <w:bCs/>
          <w:color w:val="000000"/>
          <w:sz w:val="48"/>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14,210,000.00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杠杆水平</w:t>
            </w:r>
          </w:p>
        </w:tc>
        <w:tc>
          <w:tcPr>
            <w:tcW w:w="5027" w:type="dxa"/>
            <w:vAlign w:val="center"/>
          </w:tcPr>
          <w:p>
            <w:pPr>
              <w:jc w:val="left"/>
              <w:rPr>
                <w:rFonts w:hint="eastAsia" w:ascii="宋体" w:hAnsi="宋体"/>
              </w:rPr>
            </w:pPr>
            <w:r>
              <w:rPr>
                <w:rFonts w:hint="eastAsia" w:ascii="宋体" w:hAnsi="宋体"/>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德清农商银行丰收喜悦月月赢2号28天定开净值型理财产品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571905350610503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招商银行杭州分行营业部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风险等级</w:t>
            </w:r>
          </w:p>
        </w:tc>
        <w:tc>
          <w:tcPr>
            <w:tcW w:w="5027" w:type="dxa"/>
            <w:vAlign w:val="center"/>
          </w:tcPr>
          <w:p>
            <w:pPr>
              <w:jc w:val="left"/>
              <w:rPr>
                <w:rFonts w:hint="eastAsia"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产品投资性质</w:t>
            </w:r>
          </w:p>
        </w:tc>
        <w:tc>
          <w:tcPr>
            <w:tcW w:w="5027" w:type="dxa"/>
            <w:vAlign w:val="center"/>
          </w:tcPr>
          <w:p>
            <w:pPr>
              <w:jc w:val="left"/>
              <w:rPr>
                <w:rFonts w:hint="eastAsia"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8.97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71,335.13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63,243.59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14,221,353.93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14,221,353.93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1.0897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2,383,669.76</w:t>
            </w:r>
          </w:p>
        </w:tc>
        <w:tc>
          <w:tcPr>
            <w:tcW w:w="1705" w:type="dxa"/>
            <w:vAlign w:val="center"/>
          </w:tcPr>
          <w:p>
            <w:pPr>
              <w:jc w:val="right"/>
            </w:pPr>
            <w:r>
              <w:t>16.76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6,501,703.42</w:t>
            </w:r>
          </w:p>
        </w:tc>
        <w:tc>
          <w:tcPr>
            <w:tcW w:w="1705" w:type="dxa"/>
            <w:vAlign w:val="center"/>
          </w:tcPr>
          <w:p>
            <w:pPr>
              <w:jc w:val="right"/>
            </w:pPr>
            <w:r>
              <w:t>45.71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6,501,703.42</w:t>
            </w:r>
          </w:p>
        </w:tc>
        <w:tc>
          <w:tcPr>
            <w:tcW w:w="1705" w:type="dxa"/>
            <w:vAlign w:val="center"/>
          </w:tcPr>
          <w:p>
            <w:pPr>
              <w:jc w:val="right"/>
            </w:pPr>
            <w:r>
              <w:t>45.71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5,041,043.13</w:t>
            </w:r>
          </w:p>
        </w:tc>
        <w:tc>
          <w:tcPr>
            <w:tcW w:w="1705" w:type="dxa"/>
            <w:vAlign w:val="center"/>
          </w:tcPr>
          <w:p>
            <w:pPr>
              <w:jc w:val="right"/>
            </w:pPr>
            <w:r>
              <w:t>35.44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1,020.09</w:t>
            </w:r>
          </w:p>
        </w:tc>
        <w:tc>
          <w:tcPr>
            <w:tcW w:w="1749" w:type="dxa"/>
            <w:shd w:val="clear" w:color="auto" w:fill="auto"/>
            <w:vAlign w:val="center"/>
          </w:tcPr>
          <w:p>
            <w:pPr>
              <w:jc w:val="right"/>
            </w:pPr>
            <w:r>
              <w:t>0.01</w:t>
            </w:r>
          </w:p>
        </w:tc>
        <w:tc>
          <w:tcPr>
            <w:tcW w:w="1653" w:type="dxa"/>
            <w:vAlign w:val="center"/>
          </w:tcPr>
          <w:p>
            <w:pPr>
              <w:jc w:val="right"/>
            </w:pPr>
            <w:r>
              <w:t>347,228.75</w:t>
            </w:r>
          </w:p>
        </w:tc>
        <w:tc>
          <w:tcPr>
            <w:tcW w:w="1705" w:type="dxa"/>
            <w:vAlign w:val="center"/>
          </w:tcPr>
          <w:p>
            <w:pPr>
              <w:jc w:val="right"/>
            </w:pPr>
            <w: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14,221,348.46</w:t>
            </w:r>
          </w:p>
        </w:tc>
        <w:tc>
          <w:tcPr>
            <w:tcW w:w="1749" w:type="dxa"/>
            <w:shd w:val="clear" w:color="auto" w:fill="auto"/>
            <w:vAlign w:val="center"/>
          </w:tcPr>
          <w:p>
            <w:pPr>
              <w:jc w:val="right"/>
            </w:pPr>
            <w:r>
              <w:t>99.99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453.52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14,222,368.55</w:t>
            </w:r>
          </w:p>
        </w:tc>
        <w:tc>
          <w:tcPr>
            <w:tcW w:w="1749" w:type="dxa"/>
            <w:shd w:val="clear" w:color="auto" w:fill="auto"/>
          </w:tcPr>
          <w:p>
            <w:pPr>
              <w:jc w:val="right"/>
            </w:pPr>
            <w:r>
              <w:t>100.00</w:t>
            </w:r>
          </w:p>
        </w:tc>
        <w:tc>
          <w:tcPr>
            <w:tcW w:w="1653" w:type="dxa"/>
          </w:tcPr>
          <w:p>
            <w:pPr>
              <w:jc w:val="right"/>
            </w:pPr>
            <w:r>
              <w:t>14,274,098.57</w:t>
            </w:r>
          </w:p>
        </w:tc>
        <w:tc>
          <w:tcPr>
            <w:tcW w:w="1705" w:type="dxa"/>
          </w:tcPr>
          <w:p>
            <w:pPr>
              <w:jc w:val="right"/>
            </w:pPr>
            <w:r>
              <w:t>100.36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财通证券资管月月赢2号集合资产管理计划</w:t>
            </w:r>
          </w:p>
        </w:tc>
        <w:tc>
          <w:tcPr>
            <w:tcW w:w="2693" w:type="dxa"/>
            <w:shd w:val="clear" w:color="auto" w:fill="auto"/>
            <w:vAlign w:val="center"/>
          </w:tcPr>
          <w:p>
            <w:pPr>
              <w:jc w:val="right"/>
              <w:rPr>
                <w:rFonts w:hint="default" w:eastAsia="宋体"/>
                <w:lang w:val="en-US" w:eastAsia="zh-CN"/>
              </w:rPr>
            </w:pPr>
            <w:r>
              <w:rPr>
                <w:rFonts w:hint="eastAsia"/>
                <w:lang w:val="en-US" w:eastAsia="zh-CN"/>
              </w:rPr>
              <w:t>14221348.46</w:t>
            </w:r>
          </w:p>
        </w:tc>
        <w:tc>
          <w:tcPr>
            <w:tcW w:w="2431" w:type="dxa"/>
            <w:shd w:val="clear" w:color="auto" w:fill="auto"/>
            <w:vAlign w:val="center"/>
          </w:tcPr>
          <w:p>
            <w:pPr>
              <w:jc w:val="right"/>
              <w:rPr>
                <w:rFonts w:hint="default" w:eastAsia="宋体"/>
                <w:lang w:val="en-US" w:eastAsia="zh-CN"/>
              </w:rPr>
            </w:pPr>
            <w:bookmarkStart w:id="3" w:name="OLE_LINK6"/>
            <w:bookmarkEnd w:id="3"/>
            <w:bookmarkStart w:id="4" w:name="OLE_LINK5"/>
            <w:bookmarkEnd w:id="4"/>
            <w:r>
              <w:rPr>
                <w:rFonts w:hint="eastAsia"/>
                <w:lang w:val="en-US" w:eastAsia="zh-CN"/>
              </w:rPr>
              <w:t>100.00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1"/>
        <w:gridCol w:w="2801"/>
        <w:gridCol w:w="2398"/>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 w:hRule="atLeast"/>
          <w:jc w:val="center"/>
        </w:trPr>
        <w:tc>
          <w:tcPr>
            <w:tcW w:w="1541"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1</w:t>
            </w:r>
          </w:p>
        </w:tc>
        <w:tc>
          <w:tcPr>
            <w:tcW w:w="2801" w:type="dxa"/>
            <w:tcBorders>
              <w:tl2br w:val="nil"/>
              <w:tr2bl w:val="nil"/>
            </w:tcBorders>
            <w:tcMar>
              <w:top w:w="0" w:type="dxa"/>
              <w:left w:w="108" w:type="dxa"/>
              <w:bottom w:w="0" w:type="dxa"/>
              <w:right w:w="108" w:type="dxa"/>
            </w:tcMar>
          </w:tcPr>
          <w:p>
            <w:pPr>
              <w:rPr>
                <w:rFonts w:asciiTheme="majorEastAsia" w:hAnsiTheme="majorEastAsia" w:eastAsiaTheme="majorEastAsia"/>
                <w:sz w:val="20"/>
              </w:rPr>
            </w:pPr>
            <w:r>
              <w:rPr>
                <w:rFonts w:asciiTheme="majorEastAsia" w:hAnsiTheme="majorEastAsia" w:eastAsiaTheme="majorEastAsia"/>
                <w:szCs w:val="21"/>
              </w:rPr>
              <w:t>上交所协议式回购</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rPr>
                <w:rFonts w:hint="eastAsia"/>
              </w:rPr>
              <w:t>5,041,043.13</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rPr>
                <w:rFonts w:hint="eastAsia"/>
              </w:rPr>
              <w:t>35.45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2</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24迈瑞D2</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1,390,421.51</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3</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24长寿05</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1,043,026.42</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4</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24长寿开投PPN003</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955,318.74</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5</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24长开D3</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686,503.48</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6</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山西证券超短债A</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684,126.24</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7</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格林泓卓利率债</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677,779.19</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8</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24国债09</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515,860.39</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9</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20鑫泰02</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381,616.51</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jc w:val="center"/>
        </w:trPr>
        <w:tc>
          <w:tcPr>
            <w:tcW w:w="1541" w:type="dxa"/>
            <w:tcBorders>
              <w:top w:val="nil"/>
              <w:left w:val="nil"/>
              <w:bottom w:val="nil"/>
              <w:right w:val="nil"/>
            </w:tcBorders>
            <w:shd w:val="clear" w:color="auto" w:fill="auto"/>
          </w:tcPr>
          <w:p>
            <w:pPr>
              <w:spacing w:before="100" w:beforeAutospacing="1" w:after="100" w:afterAutospacing="1"/>
              <w:ind w:hanging="1"/>
              <w:jc w:val="left"/>
            </w:pPr>
            <w:r>
              <w:rPr>
                <w:b w:val="0"/>
                <w:i w:val="0"/>
                <w:strike w:val="0"/>
                <w:u w:val="none"/>
              </w:rPr>
              <w:t>10</w:t>
            </w:r>
          </w:p>
        </w:tc>
        <w:tc>
          <w:tcPr>
            <w:tcW w:w="2801" w:type="dxa"/>
            <w:tcBorders>
              <w:top w:val="nil"/>
              <w:left w:val="nil"/>
              <w:bottom w:val="nil"/>
              <w:right w:val="nil"/>
            </w:tcBorders>
            <w:shd w:val="clear" w:color="auto" w:fill="auto"/>
          </w:tcPr>
          <w:p>
            <w:pPr>
              <w:ind w:hanging="1"/>
              <w:jc w:val="left"/>
              <w:rPr>
                <w:rFonts w:asciiTheme="majorEastAsia" w:hAnsiTheme="majorEastAsia" w:eastAsiaTheme="majorEastAsia"/>
                <w:sz w:val="20"/>
              </w:rPr>
            </w:pPr>
            <w:r>
              <w:rPr>
                <w:b w:val="0"/>
                <w:i w:val="0"/>
                <w:strike w:val="0"/>
                <w:u w:val="none"/>
              </w:rPr>
              <w:t>23邳经02</w:t>
            </w:r>
          </w:p>
        </w:tc>
        <w:tc>
          <w:tcPr>
            <w:tcW w:w="2398"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349,154.54</w:t>
            </w:r>
          </w:p>
        </w:tc>
        <w:tc>
          <w:tcPr>
            <w:tcW w:w="2320" w:type="dxa"/>
            <w:tcBorders>
              <w:top w:val="nil"/>
              <w:left w:val="nil"/>
              <w:bottom w:val="nil"/>
              <w:right w:val="nil"/>
            </w:tcBorders>
            <w:shd w:val="clear" w:color="auto" w:fill="auto"/>
          </w:tcPr>
          <w:p>
            <w:pPr>
              <w:ind w:hanging="1"/>
              <w:jc w:val="right"/>
              <w:rPr>
                <w:rFonts w:eastAsia="Times New Roman"/>
                <w:sz w:val="20"/>
              </w:rPr>
            </w:pPr>
            <w:r>
              <w:rPr>
                <w:b w:val="0"/>
                <w:i w:val="0"/>
                <w:strike w:val="0"/>
                <w:u w:val="none"/>
              </w:rPr>
              <w:t>2.46</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2025-04-1</w:t>
      </w:r>
      <w:r>
        <w:rPr>
          <w:rFonts w:hint="eastAsia" w:ascii="宋体" w:hAnsi="宋体"/>
          <w:sz w:val="28"/>
          <w:szCs w:val="28"/>
          <w:lang w:val="en-US" w:eastAsia="zh-CN"/>
        </w:rPr>
        <w:t>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B474E5A"/>
    <w:rsid w:val="51E06E0A"/>
    <w:rsid w:val="53167101"/>
    <w:rsid w:val="63BE4DA7"/>
    <w:rsid w:val="66B03452"/>
    <w:rsid w:val="6CB6511A"/>
    <w:rsid w:val="72A65BBE"/>
    <w:rsid w:val="7ECC4470"/>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2025-04-24T02:56:48Z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