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苏银理财恒源天添鑫1号</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2025年半年度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苏银理财恒源天添鑫1号</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2023年09月26日</w:t>
      </w:r>
      <w:r>
        <w:rPr>
          <w:rFonts w:hint="eastAsia" w:ascii="楷体" w:hAnsi="楷体" w:eastAsia="楷体" w:cs="楷体"/>
        </w:rPr>
        <w:t>成立，于</w:t>
      </w:r>
      <w:r>
        <w:rPr>
          <w:rFonts w:hint="eastAsia" w:ascii="楷体" w:hAnsi="楷体" w:eastAsia="楷体" w:cs="楷体"/>
          <w:spacing w:val="-7"/>
        </w:rPr>
        <w:t>2023年09月26日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苏银理财恒源天添鑫1号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Z7003123000140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9,311,931,025.36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9,711,244,970.23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31000188000552866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9,712,899,603.86</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100.02%</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苏银理财恒源天添鑫1号K</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1.042499</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1.042499</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中国人民银行公布的7天通知存款利率+0.30%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苏银理财恒源天添鑫1号L</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1.044183</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1.044183</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中国人民银行公布的7天通知存款利率+0.30%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苏银理财恒源天添鑫1号E</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1.043109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1.043109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中国人民银行公布的7天通知存款利率+0.30%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苏银理财恒源天添鑫1号M</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1.041818</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1.041818</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中国人民银行公布的7天通知存款利率+0.30%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苏银理财恒源天添鑫1号N</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1.043293</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1.043293</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中国人民银行公布的7天通知存款利率+0.30%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苏银理财恒源天添鑫1号G</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1.04274</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1.04274</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中国人民银行公布的7天通知存款利率+0.30%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苏银理财恒源天添鑫1号H</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1.041699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1.041699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中国人民银行公布的7天通知存款利率+0.30%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苏银理财恒源天添鑫1号A</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1.042582</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1.042582</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中国人民银行公布的7天通知存款利率+0.30%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苏银理财恒源天添鑫1号J</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1.040851</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1.040851</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中国人民银行公布的7天通知存款利率+0.30%</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33.93%</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33.93%</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66.07%</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1275"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2235" w:type="dxa"/>
          </w:tcPr>
          <w:p>
            <w:pPr>
              <w:jc w:val="center"/>
              <w:rPr>
                <w:rFonts w:hint="eastAsia" w:ascii="楷体" w:hAnsi="楷体" w:eastAsia="楷体" w:cs="楷体"/>
                <w:sz w:val="22"/>
              </w:rPr>
            </w:pPr>
            <w:r>
              <w:rPr>
                <w:rFonts w:hint="eastAsia" w:ascii="楷体" w:hAnsi="楷体" w:eastAsia="楷体" w:cs="楷体"/>
                <w:sz w:val="22"/>
              </w:rPr>
              <w:t>1,156,229,400.05</w:t>
            </w:r>
          </w:p>
        </w:tc>
        <w:tc>
          <w:tcPr>
            <w:tcW w:w="1800" w:type="dxa"/>
          </w:tcPr>
          <w:p>
            <w:pPr>
              <w:jc w:val="center"/>
              <w:rPr>
                <w:rFonts w:hint="eastAsia" w:ascii="楷体" w:hAnsi="楷体" w:eastAsia="楷体" w:cs="楷体"/>
                <w:sz w:val="22"/>
              </w:rPr>
            </w:pPr>
            <w:r>
              <w:rPr>
                <w:rFonts w:hint="eastAsia" w:ascii="楷体" w:hAnsi="楷体" w:eastAsia="楷体" w:cs="楷体"/>
                <w:sz w:val="22"/>
              </w:rPr>
              <w:t>11.67%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中国农业银行昆山分行202311097219</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321,987,150.65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25徽商银行CD010</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299,790,954.70</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25北京银行CD103</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197,589,738.46</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工银泰享三年理财债券</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公募基金</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188,165,241.78</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中国农业银行杭州上泗支行202501171498</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155,635,658.41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中国农业银行股份有限公司扬州分行定期存款（一）</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117,649,436.60</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中国农业银行南京分行定期存款（一）</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113,824,057.56</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中国农业银行南京分行建邺支行定期存款（一）</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113,782,858.59</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工商银行海州支行20（20230728）</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111,563,674.87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1.13%</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012580644.IB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25悦达SCP001</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500,000.00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50,000,000.00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042580243.IB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25镇江旅游CP001</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480,000.00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48,000,000.00</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ZZGL202109150141</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江苏信托鼎泰3号集合资金信托计划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43,196,917.00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50,000,000.00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ZZGL202504091187</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江苏信托安源3号集合资金信托计划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559,445,353.00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560,000,000.00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NETA20201230000002</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江苏信托鼎泰1号集合资金信托计划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1,081,211,097.00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1,320,000,000.00</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东吴证券股份有限公司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172,000,073.50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2,966,700.47</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946,249.57</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二级交易</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苏银理财有限责任公司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92,409,166.13</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75,000,000.00</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9,311,931,025.36</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8,962,178,511.88</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四</w:t>
      </w:r>
      <w:r>
        <w:rPr>
          <w:rFonts w:hint="eastAsia" w:ascii="楷体" w:hAnsi="楷体" w:cs="楷体"/>
          <w:lang w:eastAsia="zh-CN"/>
        </w:rPr>
        <w:t>、</w:t>
      </w:r>
      <w:r>
        <w:rPr>
          <w:rFonts w:hint="eastAsia" w:ascii="楷体" w:hAnsi="楷体" w:eastAsia="楷体" w:cs="楷体"/>
        </w:rPr>
        <w:t>投资运作情况</w:t>
      </w:r>
    </w:p>
    <w:p>
      <w:pPr>
        <w:rPr>
          <w:rFonts w:hint="eastAsia" w:ascii="楷体" w:hAnsi="楷体" w:eastAsia="楷体"/>
          <w:bCs/>
          <w:kern w:val="0"/>
          <w:sz w:val="21"/>
          <w:szCs w:val="21"/>
        </w:rPr>
      </w:pPr>
      <w:r>
        <w:rPr>
          <w:rFonts w:hint="eastAsia" w:ascii="楷体" w:hAnsi="楷体" w:eastAsia="楷体"/>
          <w:bCs/>
          <w:kern w:val="0"/>
          <w:sz w:val="21"/>
          <w:szCs w:val="21"/>
        </w:rPr>
        <w:t>1</w:t>
      </w:r>
      <w:r>
        <w:rPr>
          <w:rFonts w:hint="eastAsia" w:ascii="楷体" w:hAnsi="楷体" w:eastAsia="楷体"/>
          <w:bCs/>
          <w:kern w:val="0"/>
          <w:sz w:val="21"/>
          <w:szCs w:val="21"/>
          <w:lang w:eastAsia="zh-CN"/>
        </w:rPr>
        <w:t>、</w:t>
      </w:r>
      <w:r>
        <w:rPr>
          <w:rFonts w:hint="eastAsia" w:ascii="楷体" w:hAnsi="楷体" w:eastAsia="楷体"/>
          <w:bCs/>
          <w:kern w:val="0"/>
          <w:sz w:val="21"/>
          <w:szCs w:val="21"/>
        </w:rPr>
        <w:t>运作期回顾</w:t>
      </w:r>
    </w:p>
    <w:p>
      <w:pPr>
        <w:ind w:firstLine="420" w:firstLineChars="200"/>
        <w:rPr>
          <w:rFonts w:hint="default" w:ascii="楷体" w:hAnsi="楷体" w:eastAsia="楷体"/>
          <w:bCs/>
          <w:kern w:val="0"/>
          <w:sz w:val="21"/>
          <w:szCs w:val="21"/>
          <w:lang w:val="en-US" w:eastAsia="zh-CN"/>
        </w:rPr>
      </w:pPr>
      <w:r>
        <w:rPr>
          <w:rFonts w:hint="eastAsia" w:ascii="楷体" w:hAnsi="楷体" w:eastAsia="楷体"/>
          <w:bCs/>
          <w:kern w:val="0"/>
          <w:sz w:val="21"/>
          <w:szCs w:val="21"/>
          <w:lang w:val="en-US" w:eastAsia="zh-CN"/>
        </w:rPr>
        <w:t>2025年上半年债券市场波动较大，年初至2月上旬，央行对长债关注度升温叠加汇率压力加大、资金面偏紧，债券短端利率和存单利率快速调整，曲线走平；2月上旬至3月中旬，资金面持续偏紧下货币政策宽松预期重估，降准降息预期收敛，基本面出现一些积极信号，股市震荡上行，债券收益率全面调整，长端、超长端调整较多，曲线走陡；3月中旬至4月上旬，央行展示出呵护态度，债市基本完成对透支行情的修正后，叠加配置盘买入债券，债券收益率整体转为下行，随后美国对等关税大超预期，债市下行幅度加大。4月上旬至6月底，中美关税摩擦缓和，降准降息落地，资金面整体平稳，债市收益率震荡下行。</w:t>
      </w:r>
    </w:p>
    <w:p>
      <w:pPr>
        <w:ind w:firstLine="420" w:firstLineChars="200"/>
        <w:rPr>
          <w:rFonts w:hint="eastAsia" w:ascii="楷体" w:hAnsi="楷体" w:eastAsia="楷体"/>
          <w:bCs/>
          <w:kern w:val="0"/>
          <w:sz w:val="21"/>
          <w:szCs w:val="21"/>
        </w:rPr>
      </w:pPr>
      <w:r>
        <w:rPr>
          <w:rFonts w:hint="eastAsia" w:ascii="楷体" w:hAnsi="楷体" w:eastAsia="楷体"/>
          <w:bCs/>
          <w:kern w:val="0"/>
          <w:sz w:val="21"/>
          <w:szCs w:val="21"/>
        </w:rPr>
        <w:t>产品的资产配置策略上选择高评级、高流动性资产，组合久期适当。同时，根据市场不同阶段的变化，通过内部审慎的信用分析方法对可选债券品种进行筛选，基于宏观经济形势和个券信用变化，动态调整组合内各行业、发行人的投资比例。在控制组合信用风险暴露的前提下，提升组合收益。自产品成立以来，管理人在控制久期的前提下，择机配置中高评级信用类资产、稳健的存款类资产。</w:t>
      </w:r>
    </w:p>
    <w:p>
      <w:pPr>
        <w:ind w:firstLine="420" w:firstLineChars="200"/>
        <w:rPr>
          <w:rFonts w:hint="eastAsia" w:ascii="楷体" w:hAnsi="楷体" w:eastAsia="楷体"/>
          <w:bCs/>
          <w:kern w:val="0"/>
          <w:sz w:val="21"/>
          <w:szCs w:val="21"/>
        </w:rPr>
      </w:pPr>
    </w:p>
    <w:p>
      <w:pPr>
        <w:ind w:firstLine="420" w:firstLineChars="200"/>
        <w:rPr>
          <w:rFonts w:hint="eastAsia" w:ascii="楷体" w:hAnsi="楷体" w:eastAsia="楷体"/>
          <w:bCs/>
          <w:kern w:val="0"/>
          <w:sz w:val="21"/>
          <w:szCs w:val="21"/>
        </w:rPr>
      </w:pPr>
      <w:r>
        <w:rPr>
          <w:rFonts w:hint="eastAsia" w:ascii="楷体" w:hAnsi="楷体" w:eastAsia="楷体"/>
          <w:bCs/>
          <w:kern w:val="0"/>
          <w:sz w:val="21"/>
          <w:szCs w:val="21"/>
        </w:rPr>
        <w:t>2、后市展望及下阶段投资策略</w:t>
      </w:r>
    </w:p>
    <w:p>
      <w:pPr>
        <w:ind w:firstLine="420" w:firstLineChars="200"/>
        <w:rPr>
          <w:rFonts w:hint="eastAsia" w:ascii="楷体" w:hAnsi="楷体" w:eastAsia="楷体"/>
          <w:bCs/>
          <w:kern w:val="0"/>
          <w:sz w:val="21"/>
          <w:szCs w:val="21"/>
          <w:lang w:val="en-US" w:eastAsia="zh-CN"/>
        </w:rPr>
      </w:pPr>
      <w:r>
        <w:rPr>
          <w:rFonts w:hint="eastAsia" w:ascii="楷体" w:hAnsi="楷体" w:eastAsia="楷体"/>
          <w:bCs/>
          <w:kern w:val="0"/>
          <w:sz w:val="21"/>
          <w:szCs w:val="21"/>
        </w:rPr>
        <w:t>我司针对产品特性，建立了完备的风险管控体系，对信用风险、市场风险和流动性风险均有了充分的管理预案。信用风险方面，我司定期排查持仓债券，目前持仓债券信用情况良好。</w:t>
      </w:r>
      <w:r>
        <w:rPr>
          <w:rFonts w:hint="eastAsia" w:ascii="楷体" w:hAnsi="楷体" w:eastAsia="楷体"/>
          <w:bCs/>
          <w:kern w:val="0"/>
          <w:sz w:val="21"/>
          <w:szCs w:val="21"/>
          <w:lang w:val="en-US" w:eastAsia="zh-CN"/>
        </w:rPr>
        <w:t>债券市场扰动因素逐渐增多</w:t>
      </w:r>
      <w:r>
        <w:rPr>
          <w:rFonts w:hint="eastAsia" w:ascii="楷体" w:hAnsi="楷体" w:eastAsia="楷体"/>
          <w:bCs/>
          <w:kern w:val="0"/>
          <w:sz w:val="21"/>
          <w:szCs w:val="21"/>
        </w:rPr>
        <w:t>，</w:t>
      </w:r>
      <w:r>
        <w:rPr>
          <w:rFonts w:hint="eastAsia" w:ascii="楷体" w:hAnsi="楷体" w:eastAsia="楷体"/>
          <w:bCs/>
          <w:kern w:val="0"/>
          <w:sz w:val="21"/>
          <w:szCs w:val="21"/>
          <w:lang w:val="en-US" w:eastAsia="zh-CN"/>
        </w:rPr>
        <w:t>叠加</w:t>
      </w:r>
      <w:r>
        <w:rPr>
          <w:rFonts w:hint="eastAsia" w:ascii="楷体" w:hAnsi="楷体" w:eastAsia="楷体"/>
          <w:bCs/>
          <w:kern w:val="0"/>
          <w:sz w:val="21"/>
          <w:szCs w:val="21"/>
        </w:rPr>
        <w:t>股市回暖带动市场风险偏好回升</w:t>
      </w:r>
      <w:r>
        <w:rPr>
          <w:rFonts w:hint="eastAsia" w:ascii="楷体" w:hAnsi="楷体" w:eastAsia="楷体"/>
          <w:bCs/>
          <w:kern w:val="0"/>
          <w:sz w:val="21"/>
          <w:szCs w:val="21"/>
          <w:lang w:eastAsia="zh-CN"/>
        </w:rPr>
        <w:t>，</w:t>
      </w:r>
      <w:r>
        <w:rPr>
          <w:rFonts w:hint="eastAsia" w:ascii="楷体" w:hAnsi="楷体" w:eastAsia="楷体"/>
          <w:bCs/>
          <w:kern w:val="0"/>
          <w:sz w:val="21"/>
          <w:szCs w:val="21"/>
          <w:lang w:val="en-US" w:eastAsia="zh-CN"/>
        </w:rPr>
        <w:t>股债跷跷板效应明显，债券市场</w:t>
      </w:r>
      <w:r>
        <w:rPr>
          <w:rFonts w:hint="eastAsia" w:ascii="楷体" w:hAnsi="楷体" w:eastAsia="楷体"/>
          <w:bCs/>
          <w:kern w:val="0"/>
          <w:sz w:val="21"/>
          <w:szCs w:val="21"/>
        </w:rPr>
        <w:t>期间波动加大或为常态，</w:t>
      </w:r>
      <w:r>
        <w:rPr>
          <w:rFonts w:hint="eastAsia" w:ascii="楷体" w:hAnsi="楷体" w:eastAsia="楷体"/>
          <w:bCs/>
          <w:kern w:val="0"/>
          <w:sz w:val="21"/>
          <w:szCs w:val="21"/>
          <w:lang w:val="en-US" w:eastAsia="zh-CN"/>
        </w:rPr>
        <w:t>鉴于产品每日开放的特点，将控制产品加权久期，确保产品稳健运行。</w:t>
      </w:r>
    </w:p>
    <w:p>
      <w:pPr>
        <w:ind w:firstLine="420" w:firstLineChars="200"/>
        <w:rPr>
          <w:rFonts w:hint="default" w:ascii="楷体" w:hAnsi="楷体" w:eastAsia="楷体"/>
          <w:bCs/>
          <w:kern w:val="0"/>
          <w:sz w:val="21"/>
          <w:szCs w:val="21"/>
          <w:lang w:val="en-US" w:eastAsia="zh-CN"/>
        </w:rPr>
      </w:pPr>
    </w:p>
    <w:p>
      <w:pPr>
        <w:ind w:firstLine="420" w:firstLineChars="200"/>
        <w:rPr>
          <w:rFonts w:hint="eastAsia" w:ascii="楷体" w:hAnsi="楷体" w:eastAsia="楷体"/>
          <w:bCs/>
          <w:kern w:val="0"/>
          <w:sz w:val="21"/>
          <w:szCs w:val="21"/>
        </w:rPr>
      </w:pPr>
      <w:r>
        <w:rPr>
          <w:rFonts w:hint="eastAsia" w:ascii="楷体" w:hAnsi="楷体" w:eastAsia="楷体"/>
          <w:bCs/>
          <w:kern w:val="0"/>
          <w:sz w:val="21"/>
          <w:szCs w:val="21"/>
        </w:rPr>
        <w:t>3、流动性风险分析</w:t>
      </w:r>
    </w:p>
    <w:p>
      <w:pPr>
        <w:ind w:firstLine="420" w:firstLineChars="200"/>
        <w:rPr>
          <w:rFonts w:hint="eastAsia" w:ascii="楷体" w:hAnsi="楷体" w:eastAsia="楷体"/>
          <w:bCs/>
          <w:kern w:val="0"/>
          <w:sz w:val="21"/>
          <w:szCs w:val="21"/>
        </w:rPr>
      </w:pPr>
      <w:r>
        <w:rPr>
          <w:rFonts w:hint="eastAsia" w:ascii="楷体" w:hAnsi="楷体" w:eastAsia="楷体"/>
          <w:bCs/>
          <w:kern w:val="0"/>
          <w:sz w:val="21"/>
          <w:szCs w:val="21"/>
        </w:rPr>
        <w:t>流动性风险方面，本产品持仓资产以标准化债权类资产为主，变现能力较强，同时注重调优持仓结构，确保流动性处于合理水平。</w:t>
      </w:r>
    </w:p>
    <w:p>
      <w:pPr>
        <w:pStyle w:val="4"/>
        <w:spacing w:before="0" w:line="240" w:lineRule="auto"/>
        <w:ind w:left="0" w:right="0" w:firstLine="0" w:firstLineChars="0"/>
        <w:rPr>
          <w:rFonts w:hint="eastAsia" w:ascii="楷体" w:hAnsi="楷体" w:eastAsia="楷体" w:cs="楷体"/>
          <w:spacing w:val="9"/>
          <w:sz w:val="21"/>
        </w:rPr>
      </w:pPr>
    </w:p>
    <w:p>
      <w:pPr>
        <w:pStyle w:val="2"/>
        <w:rPr>
          <w:rFonts w:ascii="楷体" w:hAnsi="楷体"/>
          <w:sz w:val="24"/>
          <w:szCs w:val="24"/>
        </w:rPr>
      </w:pPr>
      <w:r>
        <w:rPr>
          <w:rFonts w:hint="eastAsia" w:ascii="楷体" w:hAnsi="楷体"/>
          <w:sz w:val="24"/>
          <w:szCs w:val="24"/>
        </w:rPr>
        <w:t>五</w:t>
      </w:r>
      <w:r>
        <w:rPr>
          <w:rFonts w:hint="eastAsia" w:ascii="楷体" w:hAnsi="楷体"/>
          <w:sz w:val="24"/>
          <w:szCs w:val="24"/>
          <w:lang w:eastAsia="zh-CN"/>
        </w:rPr>
        <w:t>、</w:t>
      </w:r>
      <w:r>
        <w:rPr>
          <w:rFonts w:hint="eastAsia" w:ascii="楷体" w:hAnsi="楷体"/>
          <w:sz w:val="24"/>
          <w:szCs w:val="24"/>
        </w:rPr>
        <w:t>托管人报告</w:t>
      </w:r>
    </w:p>
    <w:p>
      <w:pPr>
        <w:ind w:firstLine="420" w:firstLineChars="200"/>
        <w:rPr>
          <w:rFonts w:hint="eastAsia" w:ascii="楷体" w:hAnsi="楷体" w:eastAsia="楷体"/>
          <w:bCs/>
          <w:kern w:val="0"/>
          <w:sz w:val="21"/>
          <w:szCs w:val="21"/>
        </w:rPr>
      </w:pPr>
      <w:r>
        <w:rPr>
          <w:rFonts w:hint="eastAsia" w:ascii="楷体" w:hAnsi="楷体" w:eastAsia="楷体"/>
          <w:bCs/>
          <w:kern w:val="0"/>
          <w:sz w:val="21"/>
          <w:szCs w:val="21"/>
        </w:rPr>
        <w:t>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ind w:firstLine="420" w:firstLineChars="200"/>
        <w:rPr>
          <w:rFonts w:hint="eastAsia" w:ascii="楷体" w:hAnsi="楷体" w:eastAsia="楷体"/>
          <w:bCs/>
          <w:kern w:val="0"/>
          <w:sz w:val="21"/>
          <w:szCs w:val="21"/>
        </w:rPr>
      </w:pPr>
      <w:bookmarkStart w:id="1" w:name="_GoBack"/>
      <w:bookmarkEnd w:id="1"/>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051"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205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879AEF"/>
    <w:multiLevelType w:val="singleLevel"/>
    <w:tmpl w:val="C8879AEF"/>
    <w:lvl w:ilvl="0" w:tentative="0">
      <w:start w:val="3"/>
      <w:numFmt w:val="chineseCounting"/>
      <w:suff w:val="nothing"/>
      <w:lvlText w:val="（%1）"/>
      <w:lvlJc w:val="left"/>
      <w:rPr>
        <w:rFonts w:hint="eastAsia"/>
      </w:rPr>
    </w:lvl>
  </w:abstractNum>
  <w:abstractNum w:abstractNumId="1">
    <w:nsid w:val="4D4DC07F"/>
    <w:multiLevelType w:val="singleLevel"/>
    <w:tmpl w:val="4D4DC07F"/>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35C43D2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Info spid="_x0000_s2052"/>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2025-08-01T01:50:06Z</dcterms:modified>
  <cp:revision>22</cp:revision>
  <dc:title>“${prdInfo.PRD_NAME}”理财产品</dc:title>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72faba-2284-4f1a-83b3-ef1e142ffeeb}">
  <ds:schemaRefs/>
</ds:datastoreItem>
</file>

<file path=customXml/itemProps3.xml><?xml version="1.0" encoding="utf-8"?>
<ds:datastoreItem xmlns:ds="http://schemas.openxmlformats.org/officeDocument/2006/customXml" ds:itemID="{2c607737-e37f-4316-81cd-551f3d4aab9e}">
  <ds:schemaRefs/>
</ds:datastoreItem>
</file>

<file path=customXml/itemProps4.xml><?xml version="1.0" encoding="utf-8"?>
<ds:datastoreItem xmlns:ds="http://schemas.openxmlformats.org/officeDocument/2006/customXml" ds:itemID="{8697f408-f3fe-4a56-be3c-157e34441764}">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2025-08-22T08:25:54Z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B52482C273224201B2EE296E3B14EA60</vt:lpwstr>
  </property>
</Properties>
</file>