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兴银理财天天万利宝稳利8号D款净值型理财产品</w:t>
            </w:r>
            <w:r>
              <w:rPr>
                <w:rFonts w:ascii="宋体" w:hAnsi="宋体" w:eastAsia="宋体" w:cs="宋体"/>
                <w:b/>
                <w:color w:val="000000"/>
                <w:sz w:val="32"/>
              </w:rPr>
              <w:br w:type="textWrapping"/>
            </w:r>
            <w:r>
              <w:rPr>
                <w:rFonts w:ascii="宋体" w:hAnsi="宋体" w:eastAsia="宋体" w:cs="宋体"/>
                <w:b/>
                <w:color w:val="000000"/>
                <w:sz w:val="32"/>
              </w:rPr>
              <w:t>2022年第三季度报告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报告送出日期：2022年10月26日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兴银理财天天万利宝稳利8号D款净值型理财产品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9K209540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Z7002021000163</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2,565,329,411.06份</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wAfter w:w="40" w:type="dxa"/>
          <w:trHeight w:val="2400" w:hRule="exact"/>
        </w:trPr>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稳利季季增利I款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9K20954A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2,237,798,736.63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稳利季季增利I款B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9K20954B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11,865,169.33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稳利季季增利I款C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9K20954C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10,286,590.10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wAfter w:w="40" w:type="dxa"/>
          <w:trHeight w:val="5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稳利季季增利I款D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9K20954D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305,378,915.00</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56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产品9K20954A自成立日以来，累计净值增长率为2.0580%，年化累计净值增长率为3.3385%。</w:t>
            </w:r>
            <w:r>
              <w:rPr>
                <w:rFonts w:ascii="宋体" w:hAnsi="宋体" w:eastAsia="宋体" w:cs="宋体"/>
                <w:color w:val="000000"/>
                <w:sz w:val="21"/>
              </w:rPr>
              <w:br w:type="textWrapping"/>
            </w:r>
            <w:r>
              <w:rPr>
                <w:rFonts w:ascii="宋体" w:hAnsi="宋体" w:eastAsia="宋体" w:cs="宋体"/>
                <w:color w:val="000000"/>
                <w:sz w:val="21"/>
              </w:rPr>
              <w:t>产品9K20954B自成立日以来，累计净值增长率为1.0820%，年化累计净值增长率为2.9039%。</w:t>
            </w:r>
            <w:r>
              <w:rPr>
                <w:rFonts w:ascii="宋体" w:hAnsi="宋体" w:eastAsia="宋体" w:cs="宋体"/>
                <w:color w:val="000000"/>
                <w:sz w:val="21"/>
              </w:rPr>
              <w:br w:type="textWrapping"/>
            </w:r>
            <w:r>
              <w:rPr>
                <w:rFonts w:ascii="宋体" w:hAnsi="宋体" w:eastAsia="宋体" w:cs="宋体"/>
                <w:color w:val="000000"/>
                <w:sz w:val="21"/>
              </w:rPr>
              <w:t>产品9K20954C自成立日以来，累计净值增长率为0.2564%，年化累计净值增长率为2.1272%。</w:t>
            </w:r>
            <w:r>
              <w:rPr>
                <w:rFonts w:ascii="宋体" w:hAnsi="宋体" w:eastAsia="宋体" w:cs="宋体"/>
                <w:color w:val="000000"/>
                <w:sz w:val="21"/>
              </w:rPr>
              <w:br w:type="textWrapping"/>
            </w:r>
            <w:r>
              <w:rPr>
                <w:rFonts w:ascii="宋体" w:hAnsi="宋体" w:eastAsia="宋体" w:cs="宋体"/>
                <w:color w:val="000000"/>
                <w:sz w:val="21"/>
              </w:rPr>
              <w:t>产品9K20954D自成立日以来，累计净值增长率为1.2236%，年化累计净值增长率为3.3083%。</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2,618,081,498.41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2,283,858,037.24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11,993,530.58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10,496,896.39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311,733,034.20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吴楚男先生，人民大学金融学硕士，7年固定收益领域投资交易经验，曾任职浙商银行金融市场部、友邦保险资产管理中心等金融机构，自2020年10月加入兴银理财以来，担任投资经理，对利率债、利率互换、国债期货等固收品种有丰富的实战经验与较深刻的理解，擅长挖掘市场微观变化与机会。</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一、2022年三季度投资策略与运作回顾</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2022年三季度债券收益率先下后上，呈V形走势。7月在疫情点状爆发、地产风波持续的影响下，经济修复预期转弱，市场避险情绪升温，叠加资金面宽松，债市整体震荡收涨，曲线小幅走陡，10年期国债收益率从2.85%附近下降至2.75%附近。8月资金面保持充裕，经济修复预期仍弱，央行意外降息打开利率下行空间，10年期国债收益率从月初的2.75%左右下行至2.62%附近。9月海外货币政策收紧，美元指数大涨、人民币汇率贬值，国内经济高频数据出现回暖迹象，稳增长与宽信用政策陆续出台，长短端利率震荡上行，10年期国债收益率从月初的2.62%左右</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兴银理财天天万利宝稳利8号D款净值型理财产品2022年第三季度报告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9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上行至月末突破2.75%。</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产品运作方面，考虑到偏松的货币政策、较弱的经济基本面预期、多地散发的疫情等因素，三季度整体加大了对久期策略的运用，7-8月中旬稳步提升产品平均久期，并在9月后逐步换仓止盈。在券种具体操作方面，主要跟踪利差的变动，进行积极调仓，从信用利差、期限利差等多角度为组合增厚投资收益。</w:t>
            </w:r>
            <w:r>
              <w:rPr>
                <w:rFonts w:ascii="宋体" w:hAnsi="宋体" w:eastAsia="宋体" w:cs="宋体"/>
                <w:color w:val="000000"/>
                <w:sz w:val="21"/>
              </w:rPr>
              <w:br w:type="textWrapping"/>
            </w:r>
            <w:r>
              <w:rPr>
                <w:rFonts w:ascii="宋体" w:hAnsi="宋体" w:eastAsia="宋体" w:cs="宋体"/>
                <w:color w:val="000000"/>
                <w:sz w:val="21"/>
              </w:rPr>
              <w:t>二、四季度投资策略</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宏观经济方面，近期增量政策持续发力。9月地产放松政策频繁出台，地产销售情况也有所好转。预计四季度社融下行趋势放缓，经济基本面存在企稳可能。短期来看，稳增长宽信用政策不断发力，债市震荡调整行情可能持续；中期来看，在防疫政策保持严格、消费复苏偏弱、地产放松政策效果有待观察的环境下，资金面收紧概率较低，债市继续出现大幅调整的可能性也较低，预计仍将保持震荡行情，继续在合理范围进行动态操作。</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基于上述对后市的判断，产品将继续保持稳健的投资风格。1、整体以久期和杠杆策略为主，如遇明显调整可将久期和杠杆调整至合意偏高的水平，审慎使用信用下沉策略。2、利率债优于信用债。3、资本债品种波动性较前期明显下降，且信用风险低、票息更高，可择机配置。4、关注“稳增长”政策加码、海外市场波动对债市的风险。</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买入返售金融资产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w:t>
            </w:r>
            <w:r>
              <w:rPr>
                <w:rFonts w:hint="eastAsia" w:ascii="宋体" w:hAnsi="宋体" w:eastAsia="宋体" w:cs="宋体"/>
                <w:color w:val="000000"/>
                <w:sz w:val="21"/>
                <w:lang w:val="en-US" w:eastAsia="zh-CN"/>
              </w:rPr>
              <w:t xml:space="preserve"> </w:t>
            </w:r>
            <w:r>
              <w:rPr>
                <w:rFonts w:ascii="宋体" w:hAnsi="宋体" w:eastAsia="宋体" w:cs="宋体"/>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7" w:name="_GoBack"/>
            <w:bookmarkEnd w:id="7"/>
            <w:r>
              <w:rPr>
                <w:rFonts w:ascii="宋体" w:hAnsi="宋体" w:eastAsia="宋体" w:cs="宋体"/>
                <w:color w:val="000000"/>
                <w:sz w:val="21"/>
              </w:rPr>
              <w:t>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中国工商银行绍兴分行大额存单01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499,659,500.00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Z京-同业借款20220818004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399,983,425.07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22CSFD98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199,978,200.00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100,000,270.00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22CSFD56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99,989,200.00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19锡南01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50,180,600.00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22象屿CP001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50,057,800.00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20昌投G2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41,154,960.00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21衡阳01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40,886,320.00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20弘湘01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40,507,480.00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3000"/>
              <w:gridCol w:w="2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20武金控MTN001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21昌吉州MTN001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21晋能装备MTN002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22安徽建工SCP001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22格盟SCP002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兴银理财天天万利宝稳利8号D款净值型理财产品2022年第三季度报告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051010100101323560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兴银理财天天万利宝稳利8号D款净值型理财产品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2022年10月26日</w:t>
            </w:r>
          </w:p>
        </w:tc>
        <w:tc>
          <w:tcPr>
            <w:gridSpan w:val="4"/>
          </w:tcPr>
          <w:p>
            <w:pPr>
              <w:pStyle w:val="4"/>
            </w:pPr>
          </w:p>
        </w:tc>
        <w:tc>
          <w:p>
            <w:pPr>
              <w:pStyle w:val="4"/>
            </w:pPr>
          </w:p>
        </w:tc>
      </w:tr>
      <w:tr>
        <w:tblPrEx>
          <w:tblCellMar>
            <w:top w:w="0" w:type="dxa"/>
            <w:left w:w="10" w:type="dxa"/>
            <w:bottom w:w="0" w:type="dxa"/>
            <w:right w:w="10" w:type="dxa"/>
          </w:tblCellMar>
        </w:tblPrEx>
        <w:trPr>
          <w:trHeight w:val="100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36BD6CE2"/>
    <w:rsid w:val="6BE269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2022-10-21T05:48:00Z</dcterms:created>
  <dc:creator>cib</dc:creator>
  <cp:lastModifiedBy>cib</cp:lastModifiedBy>
  <dcterms:modified xsi:type="dcterms:W3CDTF">2022-10-21T11:07:07Z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