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兴业银行天天万利宝稳利6号Y款净值型理财产品2022年第三季度报告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兴业银行天天万利宝稳利6号Y款净值型理财产品</w:t>
            </w:r>
            <w:r>
              <w:rPr>
                <w:rFonts w:ascii="宋体" w:hAnsi="宋体" w:eastAsia="宋体" w:cs="宋体"/>
                <w:b/>
                <w:color w:val="000000"/>
                <w:sz w:val="32"/>
              </w:rPr>
              <w:br w:type="textWrapping"/>
            </w:r>
            <w:r>
              <w:rPr>
                <w:rFonts w:ascii="宋体" w:hAnsi="宋体" w:eastAsia="宋体" w:cs="宋体"/>
                <w:b/>
                <w:color w:val="000000"/>
                <w:sz w:val="32"/>
              </w:rPr>
              <w:t>2022年第三季度报告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报告送出日期：2022年10月26日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兴业银行天天万利宝稳利6号Y款净值型理财产品2022年第三季度报告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兴业银行天天万利宝稳利6号Y款净值型理财产品2022年第三季度报告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兴业银行天天万利宝稳利6号Y款净值型理财产品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9K209290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Z7002021000234</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8,296,868,098.31份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3.50%--4.00%/4.00%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2400" w:hRule="exact"/>
        </w:trPr>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稳利季季增利G款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9K20929A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7,424,717,218.72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稳利季季增利G款B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9K20929B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415,490,321.08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稳利季季增利G款C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9K20929C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56,833,902.12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5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兴业银行天天万利宝稳利6号Y款净值型理财产品2022年第三季度报告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稳利季季增利G款D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9K20929D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399,826,656.39</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56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产品9K20929A自成立日以来，累计净值增长率为4.3230%，年化累计净值增长率为4.2303%。</w:t>
            </w:r>
            <w:r>
              <w:rPr>
                <w:rFonts w:ascii="宋体" w:hAnsi="宋体" w:eastAsia="宋体" w:cs="宋体"/>
                <w:color w:val="000000"/>
                <w:sz w:val="21"/>
              </w:rPr>
              <w:br w:type="textWrapping"/>
            </w:r>
            <w:r>
              <w:rPr>
                <w:rFonts w:ascii="宋体" w:hAnsi="宋体" w:eastAsia="宋体" w:cs="宋体"/>
                <w:color w:val="000000"/>
                <w:sz w:val="21"/>
              </w:rPr>
              <w:t>产品9K20929B自成立日以来，累计净值增长率为0.6250%，年化累计净值增长率为2.6526%。</w:t>
            </w:r>
            <w:r>
              <w:rPr>
                <w:rFonts w:ascii="宋体" w:hAnsi="宋体" w:eastAsia="宋体" w:cs="宋体"/>
                <w:color w:val="000000"/>
                <w:sz w:val="21"/>
              </w:rPr>
              <w:br w:type="textWrapping"/>
            </w:r>
            <w:r>
              <w:rPr>
                <w:rFonts w:ascii="宋体" w:hAnsi="宋体" w:eastAsia="宋体" w:cs="宋体"/>
                <w:color w:val="000000"/>
                <w:sz w:val="21"/>
              </w:rPr>
              <w:t>产品9K20929C自成立日以来，累计净值增长率为0.6708%，年化累计净值增长率为2.8807%。</w:t>
            </w:r>
            <w:r>
              <w:rPr>
                <w:rFonts w:ascii="宋体" w:hAnsi="宋体" w:eastAsia="宋体" w:cs="宋体"/>
                <w:color w:val="000000"/>
                <w:sz w:val="21"/>
              </w:rPr>
              <w:br w:type="textWrapping"/>
            </w:r>
            <w:r>
              <w:rPr>
                <w:rFonts w:ascii="宋体" w:hAnsi="宋体" w:eastAsia="宋体" w:cs="宋体"/>
                <w:color w:val="000000"/>
                <w:sz w:val="21"/>
              </w:rPr>
              <w:t>产品9K20929D自成立日以来，累计净值增长率为1.6549%，年化累计净值增长率为3.4320%。</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8,639,813,650.78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1.04323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1.04323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7,745,660,768.90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418,087,702.80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59,275,703.33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416,789,475.75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3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一、2022年三季度投资策略与运作回顾</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2022年三季度债券收益率先下后上，呈V形走势。7月在疫情点状爆发、地产风波持续的影响下，经济修复预期转弱，市场避险情绪升温，叠加资金面宽松，债市整体震荡收涨，曲线小幅走陡，10年期国债收益率从2.85%附近下降至2.75%附近。8月资金面保持充裕，经济修复预期仍弱，央行意外降息打开利率下行空间，10年期国债收益率从月初的2.75%左右下行至2.62%附近。9月海外货币政策收紧，美元指数大涨、人民币汇率贬值，国内经济高频数据出现回暖迹象，稳增长与宽信用政策陆续出台，长短端利率震荡上行，10年期国债收益率从月初的2.62%左右上行至月末突破2.75%。</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兴业银行天天万利宝稳利6号Y款净值型理财产品2022年第三季度报告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580" w:hRule="atLeast"/>
        </w:trPr>
        <w:tc>
          <w:p>
            <w:pPr>
              <w:pStyle w:val="4"/>
            </w:pPr>
          </w:p>
        </w:tc>
        <w:tc>
          <w:tcPr>
            <w:gridSpan w:val="15"/>
            <w:tcMar>
              <w:top w:w="0" w:type="dxa"/>
              <w:left w:w="0" w:type="dxa"/>
              <w:bottom w:w="0" w:type="dxa"/>
              <w:right w:w="0" w:type="dxa"/>
            </w:tcMar>
            <w:vAlign w:val="top"/>
          </w:tcPr>
          <w:p>
            <w:pPr>
              <w:spacing w:before="0" w:after="0" w:line="320" w:lineRule="exact"/>
              <w:ind w:firstLine="420" w:firstLineChars="200"/>
              <w:jc w:val="left"/>
            </w:pPr>
            <w:r>
              <w:rPr>
                <w:rFonts w:ascii="宋体" w:hAnsi="宋体" w:eastAsia="宋体" w:cs="宋体"/>
                <w:color w:val="000000"/>
                <w:sz w:val="21"/>
              </w:rPr>
              <w:t>产品运作方面，考虑到偏松的货币政策、较弱的经济基本面预期、多地散发的疫情等因素，三季度整体加大了对久期策略的运用，7-8月中旬稳步提升产品平均久期，并在9月后逐步换仓止盈。在券种具体操作方面，主要跟踪利差的变动，进行积极调仓，从信用利差、期限利差等多角度为组合增厚投资收益。</w:t>
            </w:r>
            <w:r>
              <w:rPr>
                <w:rFonts w:ascii="宋体" w:hAnsi="宋体" w:eastAsia="宋体" w:cs="宋体"/>
                <w:color w:val="000000"/>
                <w:sz w:val="21"/>
              </w:rPr>
              <w:br w:type="textWrapping"/>
            </w:r>
            <w:r>
              <w:rPr>
                <w:rFonts w:ascii="宋体" w:hAnsi="宋体" w:eastAsia="宋体" w:cs="宋体"/>
                <w:color w:val="000000"/>
                <w:sz w:val="21"/>
              </w:rPr>
              <w:t>二、四季度投资策略</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宏观经济方面，近期增量政策持续发力。9月地产放松政策频繁出台，地产销售情况也有所好转。预计四季度社融下行趋势放缓，经济基本面存在企稳可能。短期来看，稳增长宽信用政策不断发力，债市震荡调整行情可能持续；中期来看，在防疫政策保持严格、消费复苏偏弱、地产放松政策效果有待观察的环境下，资金面收紧概率较低，债市继续出现大幅调整的可能性也较低，预计仍将保持震荡行情，继续在合理范围进行动态操作。</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基于上述对后市的判断，产品将继续保持稳健的投资风格。1、整体以久期和杠杆策略为主，如遇明显调整可将久期和杠杆调整至合意偏高的水平，审慎使用信用下沉策略。2、利率债优于信用债。3、资本债品种波动性较前期明显下降，且信用风险低、票息更高，可择机配置。4、关注“稳增长”政策加码、海外市场波动对债市的风险。</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买入返售金融资产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27.76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3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w:t>
            </w:r>
            <w:r>
              <w:rPr>
                <w:rFonts w:hint="eastAsia" w:ascii="宋体" w:hAnsi="宋体" w:eastAsia="宋体" w:cs="宋体"/>
                <w:color w:val="000000"/>
                <w:sz w:val="21"/>
                <w:lang w:val="en-US" w:eastAsia="zh-CN"/>
              </w:rPr>
              <w:t xml:space="preserve"> </w:t>
            </w:r>
            <w:r>
              <w:rPr>
                <w:rFonts w:ascii="宋体" w:hAnsi="宋体" w:eastAsia="宋体" w:cs="宋体"/>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8" w:name="_GoBack"/>
            <w:bookmarkEnd w:id="8"/>
            <w:r>
              <w:rPr>
                <w:rFonts w:ascii="宋体" w:hAnsi="宋体" w:eastAsia="宋体" w:cs="宋体"/>
                <w:color w:val="000000"/>
                <w:sz w:val="21"/>
              </w:rPr>
              <w:t>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兴业银行天天万利宝稳利6号Y款净值型理财产品2022年第三季度报告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3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Z京-同业借款20220708001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999,979,198.52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750,001,200.00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700,001,200.00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太平资产-太平资产稳赢22号资管产品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500,049,627.79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22CSFD59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329,965,020.00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兴业银行活期存款（福州）</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21农发清发02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291,416,360.00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195,000,492.50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21农发清发03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160,944,640.00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富国中债7-10年政策性金融债交易型开放式指数证券投资基金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150,301,994.47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兴业银行天天万利宝稳利6号Y款净值型理财产品2022年第三季度报告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7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20青岛城投MTN004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20青岛国信MTN002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21北稀高科MTN001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21成都兴城MTN001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21胶州城投MTN001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21晋能装备MTN002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21芯鑫租赁MTN001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21徐州高新PPN003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22光明MTN001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22镇国投SCP001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22栾川钼业MTN001(可持续挂钩)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051010100101201125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兴业银行天天万利宝稳利6号Y款净值型理财产品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兴业银行天天万利宝稳利6号Y款净值型理财产品2022年第三季度报告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2022年10月26日</w:t>
            </w:r>
          </w:p>
        </w:tc>
        <w:tc>
          <w:p>
            <w:pPr>
              <w:pStyle w:val="4"/>
            </w:pPr>
          </w:p>
        </w:tc>
      </w:tr>
      <w:tr>
        <w:tblPrEx>
          <w:tblCellMar>
            <w:top w:w="0" w:type="dxa"/>
            <w:left w:w="10" w:type="dxa"/>
            <w:bottom w:w="0" w:type="dxa"/>
            <w:right w:w="10" w:type="dxa"/>
          </w:tblCellMar>
        </w:tblPrEx>
        <w:trPr>
          <w:gridAfter w:val="4"/>
          <w:wAfter w:w="40" w:type="dxa"/>
          <w:trHeight w:val="136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B1F588A"/>
    <w:rsid w:val="730F21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2022-10-21T05:48:00Z</dcterms:created>
  <dc:creator>cib</dc:creator>
  <cp:lastModifiedBy>cib</cp:lastModifiedBy>
  <dcterms:modified xsi:type="dcterms:W3CDTF">2022-10-21T11:04:31Z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