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兴业银行天天万利宝稳利6号S款净值型理财产品2022年第三季度报告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兴业银行天天万利宝稳利6号S款净值型理财产品</w:t>
            </w:r>
            <w:r>
              <w:rPr>
                <w:rFonts w:ascii="宋体" w:hAnsi="宋体" w:eastAsia="宋体" w:cs="宋体"/>
                <w:b/>
                <w:color w:val="000000"/>
                <w:sz w:val="32"/>
              </w:rPr>
              <w:br w:type="textWrapping"/>
            </w:r>
            <w:r>
              <w:rPr>
                <w:rFonts w:ascii="宋体" w:hAnsi="宋体" w:eastAsia="宋体" w:cs="宋体"/>
                <w:b/>
                <w:color w:val="000000"/>
                <w:sz w:val="32"/>
              </w:rPr>
              <w:t>2022年第三季度报告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报告送出日期：2022年10月26日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兴业银行天天万利宝稳利6号S款净值型理财产品2022年第三季度报告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兴业银行天天万利宝稳利6号S款净值型理财产品2022年第三季度报告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4"/>
          <w:wAfter w:w="4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兴业银行天天万利宝稳利6号S款净值型理财产品</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9K209230</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Z7002021000188</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4,419,961,768.08份</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4"/>
          <w:wAfter w:w="40" w:type="dxa"/>
          <w:trHeight w:val="2400" w:hRule="exact"/>
        </w:trPr>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稳利月月增利B款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9K20923A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4,218,845,223.77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稳利月月增利B款B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9K20923B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160,057,312.30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稳利月月增利B款C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9K20923C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1,742,615.65</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wAfter w:w="40" w:type="dxa"/>
          <w:trHeight w:val="5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兴业银行天天万利宝稳利6号S款净值型理财产品2022年第三季度报告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稳利月月增利B款D</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9K20923D</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39,316,616.36</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56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产品9K20923A自成立日以来，累计净值增长率为4.2800%，年化累计净值增长率为3.5185%。</w:t>
            </w:r>
            <w:r>
              <w:rPr>
                <w:rFonts w:ascii="宋体" w:hAnsi="宋体" w:eastAsia="宋体" w:cs="宋体"/>
                <w:color w:val="000000"/>
                <w:sz w:val="21"/>
              </w:rPr>
              <w:br w:type="textWrapping"/>
            </w:r>
            <w:r>
              <w:rPr>
                <w:rFonts w:ascii="宋体" w:hAnsi="宋体" w:eastAsia="宋体" w:cs="宋体"/>
                <w:color w:val="000000"/>
                <w:sz w:val="21"/>
              </w:rPr>
              <w:t>产品9K20923B自成立日以来，累计净值增长率为3.6070%，年化累计净值增长率为3.1724%。</w:t>
            </w:r>
            <w:r>
              <w:rPr>
                <w:rFonts w:ascii="宋体" w:hAnsi="宋体" w:eastAsia="宋体" w:cs="宋体"/>
                <w:color w:val="000000"/>
                <w:sz w:val="21"/>
              </w:rPr>
              <w:br w:type="textWrapping"/>
            </w:r>
            <w:r>
              <w:rPr>
                <w:rFonts w:ascii="宋体" w:hAnsi="宋体" w:eastAsia="宋体" w:cs="宋体"/>
                <w:color w:val="000000"/>
                <w:sz w:val="21"/>
              </w:rPr>
              <w:t>产品9K20923C自成立日以来，累计净值增长率为0.6128%，年化累计净值增长率为2.8314%。</w:t>
            </w:r>
            <w:r>
              <w:rPr>
                <w:rFonts w:ascii="宋体" w:hAnsi="宋体" w:eastAsia="宋体" w:cs="宋体"/>
                <w:color w:val="000000"/>
                <w:sz w:val="21"/>
              </w:rPr>
              <w:br w:type="textWrapping"/>
            </w:r>
            <w:r>
              <w:rPr>
                <w:rFonts w:ascii="宋体" w:hAnsi="宋体" w:eastAsia="宋体" w:cs="宋体"/>
                <w:color w:val="000000"/>
                <w:sz w:val="21"/>
              </w:rPr>
              <w:t>产品9K20923D自成立日以来，累计净值增长率为1.6050%，年化累计净值增长率为3.0671%。</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1.03933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4,593,784,665.93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1.03967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1.04280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4,386,194,649.66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1.03607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1.03607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165,831,170.86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1.03926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1.03926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1,811,030.66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2022年9月30日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39,947,814.75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彭岩女士，上海交通大学管理科学硕士，3年债券投资交易经验。2019年加入兴业银行资产管理部，现任兴银理财固定收益部投资经理，主要负责债券投资和固收组合管理工作。专注自上而下的大类资产配置，投资风格稳健，交易能力较强。</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2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一、2022年三季度投资策略与运作回顾</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2022年三季度债券收益率先下后上，呈V形走势。7月在疫情点状爆发、地产风波持续的影响下，经济修复预期转弱，市场避险情绪升温，叠加资金面宽松，债市整体震荡收涨，曲线小幅走陡，10年期国债收益率从2.85%附近下降至2.75%附近。8月资金面保持充裕，经济修复预期仍弱，央行意外降息打开利率下行空间，10年期国债收益率从月初的2.75%左右下行至2.62%附近。9月海外货币政策收紧，美元指数大涨、人民币汇率贬值，国内经济高频数据出现回暖迹象，稳增长与宽信用政策陆续出台，长短端利率震荡上行，10年期国债收益率从月初的2.62%左右上行</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兴业银行天天万利宝稳利6号S款净值型理财产品2022年第三季度报告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92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至月末突破2.75%。</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产品运作方面，考虑到偏松的货币政策、较弱的经济基本面预期、多地散发的疫情等因素，三季度整体加大了对久期策略的运用，7-8月中旬稳步提升产品平均久期，并在9月后逐步换仓止盈。在券种具体操作方面，主要跟踪利差的变动，进行积极调仓，从信用利差、期限利差等多角度为组合增厚投资收益。</w:t>
            </w:r>
            <w:r>
              <w:rPr>
                <w:rFonts w:ascii="宋体" w:hAnsi="宋体" w:eastAsia="宋体" w:cs="宋体"/>
                <w:color w:val="000000"/>
                <w:sz w:val="21"/>
              </w:rPr>
              <w:br w:type="textWrapping"/>
            </w:r>
            <w:r>
              <w:rPr>
                <w:rFonts w:ascii="宋体" w:hAnsi="宋体" w:eastAsia="宋体" w:cs="宋体"/>
                <w:color w:val="000000"/>
                <w:sz w:val="21"/>
              </w:rPr>
              <w:t>二、四季度投资策略</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宏观经济方面，近期增量政策持续发力。9月地产放松政策频繁出台，地产销售情况也有所好转。预计四季度社融下行趋势放缓，经济基本面存在企稳可能。短期来看，稳增长宽信用政策不断发力，债市震荡调整行情可能持续；中期来看，在防疫政策保持严格、消费复苏偏弱、地产放松政策效果有待观察的环境下，资金面收紧概率较低，债市继续出现大幅调整的可能性也较低，预计仍将保持震荡行情，继续在合理范围进行动态操作。</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r>
              <w:rPr>
                <w:rFonts w:ascii="宋体" w:hAnsi="宋体" w:eastAsia="宋体" w:cs="宋体"/>
                <w:color w:val="000000"/>
                <w:sz w:val="21"/>
              </w:rPr>
              <w:t>基于上述对后市的判断，产品将继续保持稳健的投资风格。1、整体以久期和杠杆策略为主，如遇明显调整可将久期和杠杆调整至合意偏高的水平，审慎使用信用下沉策略。2、利率债优于信用债。3、资本债品种波动性较前期明显下降，且信用风险低、票息更高，可择机配置。4、关注“稳增长”政策加码、海外市场波动对债市的风险。</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6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16.36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29.40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买入返售金融资产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69.05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w:t>
            </w:r>
            <w:r>
              <w:rPr>
                <w:rFonts w:hint="eastAsia" w:ascii="宋体" w:hAnsi="宋体" w:eastAsia="宋体" w:cs="宋体"/>
                <w:color w:val="000000"/>
                <w:sz w:val="21"/>
                <w:lang w:val="en-US" w:eastAsia="zh-CN"/>
              </w:rPr>
              <w:t xml:space="preserve"> </w:t>
            </w:r>
            <w:r>
              <w:rPr>
                <w:rFonts w:ascii="宋体" w:hAnsi="宋体" w:eastAsia="宋体" w:cs="宋体"/>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bookmarkStart w:id="7" w:name="_GoBack"/>
            <w:bookmarkEnd w:id="7"/>
            <w:r>
              <w:rPr>
                <w:rFonts w:ascii="宋体" w:hAnsi="宋体" w:eastAsia="宋体" w:cs="宋体"/>
                <w:color w:val="000000"/>
                <w:sz w:val="21"/>
              </w:rPr>
              <w:t>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兴业银行天天万利宝稳利6号S款净值型理财产品2022年第三季度报告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大家资管稳健精选15号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806,644,837.56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17.56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招商银行成都分行大额存单20210820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499,384,500.00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22CSFD128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399,986,400.00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8.71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349,966,400.00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7.62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21CSFD203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299,986,500.00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22CSFD98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299,967,300.00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22CSFD80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199,978,000.00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兴业银行活期存款（福州）</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20东北C1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110,418,110.00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19兴信01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100,460,500.00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3000"/>
              <w:gridCol w:w="2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19兴信01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19中国华融债01(品种一)</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20宁乡城投PPN002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20兴信01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20兴信02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21富皋万泰PPN001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22滁州同创SCP001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22丹投CP001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22甘肃机场SCP001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兴业银行天天万利宝稳利6号S款净值型理财产品2022年第三季度报告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3000"/>
              <w:gridCol w:w="2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22昆明交通SCP001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22连云工投CP001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22雨花经开SCP001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22云建投SCP019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22镇江交通SCP002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22钟楼新城PPN003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gridCol w:w="2200"/>
              <w:gridCol w:w="2200"/>
              <w:gridCol w:w="1800"/>
              <w:gridCol w:w="29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gridCol w:w="2200"/>
              <w:gridCol w:w="2200"/>
              <w:gridCol w:w="1800"/>
              <w:gridCol w:w="29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051010100101200562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兴业银行天天万利宝稳利6号S款净值型理财产品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2022年10月26日</w:t>
            </w:r>
          </w:p>
        </w:tc>
        <w:tc>
          <w:tcPr>
            <w:gridSpan w:val="4"/>
          </w:tcPr>
          <w:p>
            <w:pPr>
              <w:pStyle w:val="4"/>
            </w:pPr>
          </w:p>
        </w:tc>
        <w:tc>
          <w:p>
            <w:pPr>
              <w:pStyle w:val="4"/>
            </w:pPr>
          </w:p>
        </w:tc>
      </w:tr>
      <w:tr>
        <w:tblPrEx>
          <w:tblCellMar>
            <w:top w:w="0" w:type="dxa"/>
            <w:left w:w="10" w:type="dxa"/>
            <w:bottom w:w="0" w:type="dxa"/>
            <w:right w:w="10" w:type="dxa"/>
          </w:tblCellMar>
        </w:tblPrEx>
        <w:trPr>
          <w:trHeight w:val="40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2E776176"/>
    <w:rsid w:val="79087DB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2022-10-21T05:48:00Z</dcterms:created>
  <dc:creator>cib</dc:creator>
  <cp:lastModifiedBy>cib</cp:lastModifiedBy>
  <dcterms:modified xsi:type="dcterms:W3CDTF">2022-10-21T11:02:05Z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