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400"/>
        <w:gridCol w:w="420"/>
        <w:gridCol w:w="380"/>
        <w:gridCol w:w="740"/>
        <w:gridCol w:w="260"/>
        <w:gridCol w:w="700"/>
        <w:gridCol w:w="300"/>
        <w:gridCol w:w="1000"/>
        <w:gridCol w:w="1000"/>
        <w:gridCol w:w="400"/>
        <w:gridCol w:w="2220"/>
        <w:gridCol w:w="180"/>
        <w:gridCol w:w="300"/>
        <w:gridCol w:w="100"/>
        <w:gridCol w:w="1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6"/>
          </w:tcPr>
          <w:p>
            <w:pPr>
              <w:pStyle w:val="4"/>
            </w:pPr>
          </w:p>
        </w:tc>
        <w:tc>
          <w:p>
            <w:pPr>
              <w:pStyle w:val="4"/>
            </w:pPr>
          </w:p>
        </w:tc>
        <w:tc>
          <w:tcPr>
            <w:gridSpan w:val="4"/>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9"/>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天天万利宝稳利2号净值型理财产品L款2022年第三季度报告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p>
            <w:pPr>
              <w:pStyle w:val="4"/>
            </w:pPr>
          </w:p>
        </w:tc>
        <w:tc>
          <w:tcPr>
            <w:gridSpan w:val="4"/>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9"/>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6"/>
          </w:tcPr>
          <w:p>
            <w:pPr>
              <w:pStyle w:val="4"/>
            </w:pPr>
          </w:p>
        </w:tc>
        <w:tc>
          <w:p>
            <w:pPr>
              <w:pStyle w:val="4"/>
            </w:pPr>
          </w:p>
        </w:tc>
        <w:tc>
          <w:tcPr>
            <w:gridSpan w:val="4"/>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9"/>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天天万利宝稳利2号净值型理财产品L款</w:t>
            </w:r>
            <w:r>
              <w:rPr>
                <w:rFonts w:ascii="宋体" w:hAnsi="宋体" w:eastAsia="宋体" w:cs="宋体"/>
                <w:b/>
                <w:color w:val="000000"/>
                <w:sz w:val="32"/>
              </w:rPr>
              <w:br w:type="textWrapping"/>
            </w:r>
            <w:r>
              <w:rPr>
                <w:rFonts w:ascii="宋体" w:hAnsi="宋体" w:eastAsia="宋体" w:cs="宋体"/>
                <w:b/>
                <w:color w:val="000000"/>
                <w:sz w:val="32"/>
              </w:rPr>
              <w:t>2022年第三季度报告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6"/>
          </w:tcPr>
          <w:p>
            <w:pPr>
              <w:pStyle w:val="4"/>
            </w:pPr>
          </w:p>
        </w:tc>
        <w:tc>
          <w:p>
            <w:pPr>
              <w:pStyle w:val="4"/>
            </w:pPr>
          </w:p>
        </w:tc>
        <w:tc>
          <w:tcPr>
            <w:gridSpan w:val="4"/>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6"/>
          </w:tcPr>
          <w:p>
            <w:pPr>
              <w:pStyle w:val="4"/>
            </w:pPr>
          </w:p>
        </w:tc>
        <w:tc>
          <w:tcPr>
            <w:gridSpan w:val="9"/>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6"/>
          </w:tcPr>
          <w:p>
            <w:pPr>
              <w:pStyle w:val="4"/>
            </w:pPr>
          </w:p>
        </w:tc>
        <w:tc>
          <w:tcPr>
            <w:gridSpan w:val="9"/>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6"/>
          </w:tcPr>
          <w:p>
            <w:pPr>
              <w:pStyle w:val="4"/>
            </w:pPr>
          </w:p>
        </w:tc>
        <w:tc>
          <w:tcPr>
            <w:gridSpan w:val="9"/>
            <w:tcMar>
              <w:top w:w="0" w:type="dxa"/>
              <w:left w:w="0" w:type="dxa"/>
              <w:bottom w:w="0" w:type="dxa"/>
              <w:right w:w="0" w:type="dxa"/>
            </w:tcMar>
            <w:vAlign w:val="center"/>
          </w:tcPr>
          <w:p>
            <w:pPr>
              <w:jc w:val="left"/>
            </w:pPr>
            <w:r>
              <w:rPr>
                <w:rFonts w:ascii="宋体" w:hAnsi="宋体" w:eastAsia="宋体" w:cs="宋体"/>
                <w:color w:val="000000"/>
                <w:sz w:val="24"/>
              </w:rPr>
              <w:t>报告送出日期：2022年10月26日</w:t>
            </w: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6"/>
          </w:tcPr>
          <w:p>
            <w:pPr>
              <w:pStyle w:val="4"/>
            </w:pPr>
          </w:p>
        </w:tc>
        <w:tc>
          <w:p>
            <w:pPr>
              <w:pStyle w:val="4"/>
            </w:pPr>
          </w:p>
        </w:tc>
        <w:tc>
          <w:tcPr>
            <w:gridSpan w:val="4"/>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p>
            <w:pPr>
              <w:pStyle w:val="4"/>
            </w:pPr>
          </w:p>
        </w:tc>
        <w:tc>
          <w:tcPr>
            <w:gridSpan w:val="4"/>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4"/>
          </w:tcPr>
          <w:p>
            <w:pPr>
              <w:pStyle w:val="4"/>
            </w:pPr>
          </w:p>
        </w:tc>
        <w:tc>
          <w:tcPr>
            <w:gridSpan w:val="2"/>
          </w:tcPr>
          <w:p>
            <w:pPr>
              <w:pStyle w:val="4"/>
            </w:pPr>
          </w:p>
        </w:tc>
        <w:tc>
          <w:tcPr>
            <w:gridSpan w:val="2"/>
          </w:tcPr>
          <w:p>
            <w:pPr>
              <w:pStyle w:val="4"/>
            </w:pPr>
          </w:p>
        </w:tc>
        <w:tc>
          <w:p>
            <w:pPr>
              <w:pStyle w:val="4"/>
            </w:pPr>
          </w:p>
        </w:tc>
        <w:tc>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9"/>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天天万利宝稳利2号净值型理财产品L款2022年第三季度报告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4"/>
          </w:tcPr>
          <w:p>
            <w:pPr>
              <w:pStyle w:val="4"/>
            </w:pPr>
          </w:p>
        </w:tc>
        <w:tc>
          <w:tcPr>
            <w:gridSpan w:val="2"/>
          </w:tcPr>
          <w:p>
            <w:pPr>
              <w:pStyle w:val="4"/>
            </w:pPr>
          </w:p>
        </w:tc>
        <w:tc>
          <w:tcPr>
            <w:gridSpan w:val="2"/>
          </w:tcPr>
          <w:p>
            <w:pPr>
              <w:pStyle w:val="4"/>
            </w:pPr>
          </w:p>
        </w:tc>
        <w:tc>
          <w:p>
            <w:pPr>
              <w:pStyle w:val="4"/>
            </w:pPr>
          </w:p>
        </w:tc>
        <w:tc>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9"/>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4"/>
          </w:tcPr>
          <w:p>
            <w:pPr>
              <w:pStyle w:val="4"/>
            </w:pPr>
          </w:p>
        </w:tc>
        <w:tc>
          <w:tcPr>
            <w:gridSpan w:val="2"/>
          </w:tcPr>
          <w:p>
            <w:pPr>
              <w:pStyle w:val="4"/>
            </w:pPr>
          </w:p>
        </w:tc>
        <w:tc>
          <w:tcPr>
            <w:gridSpan w:val="2"/>
          </w:tcPr>
          <w:p>
            <w:pPr>
              <w:pStyle w:val="4"/>
            </w:pPr>
          </w:p>
        </w:tc>
        <w:tc>
          <w:p>
            <w:pPr>
              <w:pStyle w:val="4"/>
            </w:pPr>
          </w:p>
        </w:tc>
        <w:tc>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4"/>
          </w:tcPr>
          <w:p>
            <w:pPr>
              <w:pStyle w:val="4"/>
            </w:pPr>
          </w:p>
        </w:tc>
        <w:tc>
          <w:tcPr>
            <w:gridSpan w:val="2"/>
          </w:tcPr>
          <w:p>
            <w:pPr>
              <w:pStyle w:val="4"/>
            </w:pPr>
          </w:p>
        </w:tc>
        <w:tc>
          <w:tcPr>
            <w:gridSpan w:val="3"/>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4"/>
          </w:tcPr>
          <w:p>
            <w:pPr>
              <w:pStyle w:val="4"/>
            </w:pPr>
          </w:p>
        </w:tc>
        <w:tc>
          <w:tcPr>
            <w:gridSpan w:val="2"/>
          </w:tcPr>
          <w:p>
            <w:pPr>
              <w:pStyle w:val="4"/>
            </w:pPr>
          </w:p>
        </w:tc>
        <w:tc>
          <w:tcPr>
            <w:gridSpan w:val="2"/>
          </w:tcPr>
          <w:p>
            <w:pPr>
              <w:pStyle w:val="4"/>
            </w:pPr>
          </w:p>
        </w:tc>
        <w:tc>
          <w:p>
            <w:pPr>
              <w:pStyle w:val="4"/>
            </w:pPr>
          </w:p>
        </w:tc>
        <w:tc>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4"/>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4"/>
          </w:tcPr>
          <w:p>
            <w:pPr>
              <w:pStyle w:val="4"/>
            </w:pPr>
          </w:p>
        </w:tc>
        <w:tc>
          <w:tcPr>
            <w:gridSpan w:val="2"/>
          </w:tcPr>
          <w:p>
            <w:pPr>
              <w:pStyle w:val="4"/>
            </w:pPr>
          </w:p>
        </w:tc>
        <w:tc>
          <w:tcPr>
            <w:gridSpan w:val="2"/>
          </w:tcPr>
          <w:p>
            <w:pPr>
              <w:pStyle w:val="4"/>
            </w:pPr>
          </w:p>
        </w:tc>
        <w:tc>
          <w:p>
            <w:pPr>
              <w:pStyle w:val="4"/>
            </w:pPr>
          </w:p>
        </w:tc>
        <w:tc>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4"/>
          </w:tcPr>
          <w:p>
            <w:pPr>
              <w:pStyle w:val="4"/>
            </w:pPr>
          </w:p>
        </w:tc>
        <w:tc>
          <w:tcPr>
            <w:gridSpan w:val="4"/>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2" w:name="JR_PAGE_ANCHOR_0_3"/>
            <w:bookmarkEnd w:id="2"/>
          </w:p>
        </w:tc>
        <w:tc>
          <w:tcPr>
            <w:gridSpan w:val="7"/>
          </w:tcPr>
          <w:p>
            <w:pPr>
              <w:pStyle w:val="4"/>
            </w:pPr>
          </w:p>
        </w:tc>
        <w:tc>
          <w:p>
            <w:pPr>
              <w:pStyle w:val="4"/>
            </w:pPr>
          </w:p>
        </w:tc>
        <w:tc>
          <w:tcPr>
            <w:gridSpan w:val="3"/>
          </w:tcPr>
          <w:p>
            <w:pPr>
              <w:pStyle w:val="4"/>
            </w:pPr>
          </w:p>
        </w:tc>
        <w:tc>
          <w:tcPr>
            <w:gridSpan w:val="2"/>
          </w:tcPr>
          <w:p>
            <w:pPr>
              <w:pStyle w:val="4"/>
            </w:pP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9"/>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天天万利宝稳利2号净值型理财产品L款2022年第三季度报告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7"/>
          </w:tcPr>
          <w:p>
            <w:pPr>
              <w:pStyle w:val="4"/>
            </w:pPr>
          </w:p>
        </w:tc>
        <w:tc>
          <w:p>
            <w:pPr>
              <w:pStyle w:val="4"/>
            </w:pPr>
          </w:p>
        </w:tc>
        <w:tc>
          <w:tcPr>
            <w:gridSpan w:val="3"/>
          </w:tcPr>
          <w:p>
            <w:pPr>
              <w:pStyle w:val="4"/>
            </w:pPr>
          </w:p>
        </w:tc>
        <w:tc>
          <w:tcPr>
            <w:gridSpan w:val="2"/>
          </w:tcPr>
          <w:p>
            <w:pPr>
              <w:pStyle w:val="4"/>
            </w:pP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9"/>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600" w:hRule="exact"/>
        </w:trPr>
        <w:tc>
          <w:p>
            <w:pPr>
              <w:pStyle w:val="4"/>
            </w:pPr>
          </w:p>
        </w:tc>
        <w:tc>
          <w:tcPr>
            <w:gridSpan w:val="7"/>
          </w:tcPr>
          <w:p>
            <w:pPr>
              <w:pStyle w:val="4"/>
            </w:pPr>
          </w:p>
        </w:tc>
        <w:tc>
          <w:p>
            <w:pPr>
              <w:pStyle w:val="4"/>
            </w:pPr>
          </w:p>
        </w:tc>
        <w:tc>
          <w:tcPr>
            <w:gridSpan w:val="3"/>
          </w:tcPr>
          <w:p>
            <w:pPr>
              <w:pStyle w:val="4"/>
            </w:pPr>
          </w:p>
        </w:tc>
        <w:tc>
          <w:tcPr>
            <w:gridSpan w:val="2"/>
          </w:tcPr>
          <w:p>
            <w:pPr>
              <w:pStyle w:val="4"/>
            </w:pP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9"/>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7"/>
          </w:tcPr>
          <w:p>
            <w:pPr>
              <w:pStyle w:val="4"/>
            </w:pPr>
          </w:p>
        </w:tc>
        <w:tc>
          <w:p>
            <w:pPr>
              <w:pStyle w:val="4"/>
            </w:pPr>
          </w:p>
        </w:tc>
        <w:tc>
          <w:tcPr>
            <w:gridSpan w:val="3"/>
          </w:tcPr>
          <w:p>
            <w:pPr>
              <w:pStyle w:val="4"/>
            </w:pPr>
          </w:p>
        </w:tc>
        <w:tc>
          <w:tcPr>
            <w:gridSpan w:val="2"/>
          </w:tcPr>
          <w:p>
            <w:pPr>
              <w:pStyle w:val="4"/>
            </w:pP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80" w:hRule="atLeast"/>
        </w:trPr>
        <w:tc>
          <w:p>
            <w:pPr>
              <w:pStyle w:val="4"/>
            </w:pPr>
          </w:p>
        </w:tc>
        <w:tc>
          <w:tcPr>
            <w:gridSpan w:val="19"/>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4"/>
          <w:wAfter w:w="40" w:type="dxa"/>
          <w:trHeight w:val="600" w:hRule="exact"/>
        </w:trPr>
        <w:tc>
          <w:p>
            <w:pPr>
              <w:pStyle w:val="4"/>
            </w:pPr>
          </w:p>
        </w:tc>
        <w:tc>
          <w:tcPr>
            <w:gridSpan w:val="7"/>
          </w:tcPr>
          <w:p>
            <w:pPr>
              <w:pStyle w:val="4"/>
            </w:pPr>
          </w:p>
        </w:tc>
        <w:tc>
          <w:p>
            <w:pPr>
              <w:pStyle w:val="4"/>
            </w:pPr>
          </w:p>
        </w:tc>
        <w:tc>
          <w:tcPr>
            <w:gridSpan w:val="3"/>
          </w:tcPr>
          <w:p>
            <w:pPr>
              <w:pStyle w:val="4"/>
            </w:pPr>
          </w:p>
        </w:tc>
        <w:tc>
          <w:tcPr>
            <w:gridSpan w:val="2"/>
          </w:tcPr>
          <w:p>
            <w:pPr>
              <w:pStyle w:val="4"/>
            </w:pP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9"/>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7"/>
          </w:tcPr>
          <w:p>
            <w:pPr>
              <w:pStyle w:val="4"/>
            </w:pPr>
          </w:p>
        </w:tc>
        <w:tc>
          <w:p>
            <w:pPr>
              <w:pStyle w:val="4"/>
            </w:pPr>
          </w:p>
        </w:tc>
        <w:tc>
          <w:tcPr>
            <w:gridSpan w:val="3"/>
          </w:tcPr>
          <w:p>
            <w:pPr>
              <w:pStyle w:val="4"/>
            </w:pPr>
          </w:p>
        </w:tc>
        <w:tc>
          <w:tcPr>
            <w:gridSpan w:val="2"/>
          </w:tcPr>
          <w:p>
            <w:pPr>
              <w:pStyle w:val="4"/>
            </w:pP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天天万利宝稳利2号净值型理财产品L款</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9K218029</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Z7002020000029</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9,569,859,563.54份</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业绩比较基准/业绩报酬计提基准</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3.00%--4.00%/4.00%</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R2</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7"/>
          </w:tcPr>
          <w:p>
            <w:pPr>
              <w:pStyle w:val="4"/>
            </w:pPr>
          </w:p>
        </w:tc>
        <w:tc>
          <w:p>
            <w:pPr>
              <w:pStyle w:val="4"/>
            </w:pPr>
          </w:p>
        </w:tc>
        <w:tc>
          <w:tcPr>
            <w:gridSpan w:val="3"/>
          </w:tcPr>
          <w:p>
            <w:pPr>
              <w:pStyle w:val="4"/>
            </w:pPr>
          </w:p>
        </w:tc>
        <w:tc>
          <w:tcPr>
            <w:gridSpan w:val="2"/>
          </w:tcPr>
          <w:p>
            <w:pPr>
              <w:pStyle w:val="4"/>
            </w:pP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9"/>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7"/>
          </w:tcPr>
          <w:p>
            <w:pPr>
              <w:pStyle w:val="4"/>
            </w:pPr>
          </w:p>
        </w:tc>
        <w:tc>
          <w:p>
            <w:pPr>
              <w:pStyle w:val="4"/>
            </w:pPr>
          </w:p>
        </w:tc>
        <w:tc>
          <w:tcPr>
            <w:gridSpan w:val="3"/>
          </w:tcPr>
          <w:p>
            <w:pPr>
              <w:pStyle w:val="4"/>
            </w:pPr>
          </w:p>
        </w:tc>
        <w:tc>
          <w:tcPr>
            <w:gridSpan w:val="2"/>
          </w:tcPr>
          <w:p>
            <w:pPr>
              <w:pStyle w:val="4"/>
            </w:pP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6"/>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产品9K218029自成立日以来，累计净值增长率为15.0480%，年化累计净值增长率为4.0327%。</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920" w:hRule="exact"/>
        </w:trPr>
        <w:tc>
          <w:p>
            <w:pPr>
              <w:pStyle w:val="4"/>
            </w:pPr>
          </w:p>
        </w:tc>
        <w:tc>
          <w:tcPr>
            <w:gridSpan w:val="7"/>
          </w:tcPr>
          <w:p>
            <w:pPr>
              <w:pStyle w:val="4"/>
            </w:pPr>
          </w:p>
        </w:tc>
        <w:tc>
          <w:p>
            <w:pPr>
              <w:pStyle w:val="4"/>
            </w:pPr>
          </w:p>
        </w:tc>
        <w:tc>
          <w:tcPr>
            <w:gridSpan w:val="3"/>
          </w:tcPr>
          <w:p>
            <w:pPr>
              <w:pStyle w:val="4"/>
            </w:pPr>
          </w:p>
        </w:tc>
        <w:tc>
          <w:tcPr>
            <w:gridSpan w:val="2"/>
          </w:tcPr>
          <w:p>
            <w:pPr>
              <w:pStyle w:val="4"/>
            </w:pP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7"/>
          </w:tcPr>
          <w:p>
            <w:pPr>
              <w:pStyle w:val="4"/>
            </w:pPr>
          </w:p>
        </w:tc>
        <w:tc>
          <w:tcPr>
            <w:gridSpan w:val="4"/>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3" w:name="JR_PAGE_ANCHOR_0_4"/>
            <w:bookmarkEnd w:id="3"/>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9"/>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天天万利宝稳利2号净值型理财产品L款2022年第三季度报告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9"/>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估值日期</w:t>
            </w: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产品份额净值</w:t>
            </w:r>
          </w:p>
        </w:tc>
        <w:tc>
          <w:tcPr>
            <w:gridSpan w:val="4"/>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 xml:space="preserve">产品累计净值 </w:t>
            </w:r>
          </w:p>
        </w:tc>
        <w:tc>
          <w:tcPr>
            <w:gridSpan w:val="4"/>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产品资产净值</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pPr>
            <w:r>
              <w:rPr>
                <w:rFonts w:ascii="宋体" w:hAnsi="宋体" w:eastAsia="宋体" w:cs="宋体"/>
                <w:color w:val="000000"/>
                <w:sz w:val="21"/>
              </w:rPr>
              <w:t>1.00806</w:t>
            </w:r>
          </w:p>
        </w:tc>
        <w:tc>
          <w:tcPr>
            <w:gridSpan w:val="4"/>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pPr>
            <w:r>
              <w:rPr>
                <w:rFonts w:ascii="宋体" w:hAnsi="宋体" w:eastAsia="宋体" w:cs="宋体"/>
                <w:color w:val="000000"/>
                <w:sz w:val="21"/>
              </w:rPr>
              <w:t>1.15048</w:t>
            </w:r>
          </w:p>
        </w:tc>
        <w:tc>
          <w:tcPr>
            <w:gridSpan w:val="4"/>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pPr>
            <w:r>
              <w:rPr>
                <w:rFonts w:ascii="宋体" w:hAnsi="宋体" w:eastAsia="宋体" w:cs="宋体"/>
                <w:color w:val="000000"/>
                <w:sz w:val="21"/>
              </w:rPr>
              <w:t>9,646,971,732.24</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9"/>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20" w:hRule="exact"/>
        </w:trPr>
        <w:tc>
          <w:p>
            <w:pPr>
              <w:pStyle w:val="4"/>
            </w:pPr>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900" w:hRule="atLeast"/>
        </w:trPr>
        <w:tc>
          <w:p>
            <w:pPr>
              <w:pStyle w:val="4"/>
            </w:pPr>
          </w:p>
        </w:tc>
        <w:tc>
          <w:tcPr>
            <w:gridSpan w:val="19"/>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叶懿磊先生，复旦大学金融数学硕士，3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9"/>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20" w:hRule="exact"/>
        </w:trPr>
        <w:tc>
          <w:p>
            <w:pPr>
              <w:pStyle w:val="4"/>
            </w:pPr>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920" w:hRule="atLeast"/>
        </w:trPr>
        <w:tc>
          <w:p>
            <w:pPr>
              <w:pStyle w:val="4"/>
            </w:pPr>
          </w:p>
        </w:tc>
        <w:tc>
          <w:tcPr>
            <w:gridSpan w:val="19"/>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一、2022年三季度投资策略与运作回顾</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2022年三季度债券收益率先下后上，呈V形走势。7月在疫情点状爆发、地产风波持续的影响下，经济修复预期转弱，市场避险情绪升温，叠加资金面宽松，债市整体震荡收涨，曲线小幅走陡，10年期国债收益率从2.85%附近下降至2.75%附近。8月资金面保持充裕，经济修复预期仍弱，央行意外降息打开利率下行空间，10年期国债收益率从月初的2.75%左右下行至2.62%附近。9月海外货币政策收紧，美元指数大涨、人民币汇率贬值，国内经济高频数据出现回暖迹象，稳增长与宽信用政策陆续出台，长短端利率震荡上行，10年期国债收益率从月初的2.62%左右上行至月末突破2.75%。</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产品运作方面，考虑到偏松的货币政策、较弱的经济基本面预期、多地散发的疫情等因素，三季度整体加大了对久期策略的运用，7-8月中旬稳步提升产品平均久期，并在9月后逐步换仓止盈。在券种具体操作方面，主要跟踪利差的变动，进行积极调仓，从信用利差、期限利差等多角度为组合增厚投资收益。</w:t>
            </w:r>
            <w:r>
              <w:rPr>
                <w:rFonts w:ascii="宋体" w:hAnsi="宋体" w:eastAsia="宋体" w:cs="宋体"/>
                <w:color w:val="000000"/>
                <w:sz w:val="21"/>
              </w:rPr>
              <w:br w:type="textWrapping"/>
            </w:r>
            <w:r>
              <w:rPr>
                <w:rFonts w:ascii="宋体" w:hAnsi="宋体" w:eastAsia="宋体" w:cs="宋体"/>
                <w:color w:val="000000"/>
                <w:sz w:val="21"/>
              </w:rPr>
              <w:t>二、四季度投资策略</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宏观经济方面，近期增量政策持续发力。9月地产放松政策频繁出台，地产销售情况也有所好转。预计四季度社融下行趋势放缓，经济基本面存在企稳可能。短期来看，稳增长宽信用政策不断发力，债市震荡调整行情可能持续；中期来看，在防疫政策保持严格、消费复苏偏弱、地产放松政策效果有待观察的环境下，资金面收紧概率较低，债市继续出现大幅调整的可能性也较低，预计仍将保持震荡行情，继续在合理范围进行动态操作。</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基于上述对后市的判断，产品将继续保持稳健的投资风格。1、整体以久期和杠杆策略为主，如遇明显调整可将久期和杠杆调整至合意偏高的水平，审慎使用信用下沉策略。2、利率债优于信用债。3、资本债品种波动性较前期明显下降，且信用风险低、票息更高，可择机配置。4、关注“稳增长”政策加码、海外市场波动对债市的风险。</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9"/>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20"/>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1640" w:hRule="exact"/>
        </w:trPr>
        <w:tc>
          <w:p>
            <w:pPr>
              <w:pStyle w:val="4"/>
            </w:pPr>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4"/>
          </w:tcPr>
          <w:p>
            <w:pPr>
              <w:pStyle w:val="4"/>
            </w:pPr>
          </w:p>
        </w:tc>
        <w:tc>
          <w:tcPr>
            <w:gridSpan w:val="2"/>
          </w:tcPr>
          <w:p>
            <w:pPr>
              <w:pStyle w:val="4"/>
            </w:pPr>
          </w:p>
        </w:tc>
        <w:tc>
          <w:tcPr>
            <w:gridSpan w:val="4"/>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6"/>
          </w:tcPr>
          <w:p>
            <w:pPr>
              <w:pStyle w:val="4"/>
            </w:pPr>
          </w:p>
        </w:tc>
        <w:tc>
          <w:tcPr>
            <w:gridSpan w:val="4"/>
          </w:tcPr>
          <w:p>
            <w:pPr>
              <w:pStyle w:val="4"/>
            </w:pPr>
          </w:p>
        </w:tc>
        <w:tc>
          <w:tcPr>
            <w:gridSpan w:val="2"/>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9"/>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天天万利宝稳利2号净值型理财产品L款2022年第三季度报告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6"/>
          </w:tcPr>
          <w:p>
            <w:pPr>
              <w:pStyle w:val="4"/>
            </w:pPr>
          </w:p>
        </w:tc>
        <w:tc>
          <w:tcPr>
            <w:gridSpan w:val="4"/>
          </w:tcPr>
          <w:p>
            <w:pPr>
              <w:pStyle w:val="4"/>
            </w:pPr>
          </w:p>
        </w:tc>
        <w:tc>
          <w:tcPr>
            <w:gridSpan w:val="2"/>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9"/>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6"/>
          </w:tcPr>
          <w:p>
            <w:pPr>
              <w:pStyle w:val="4"/>
            </w:pPr>
          </w:p>
        </w:tc>
        <w:tc>
          <w:tcPr>
            <w:gridSpan w:val="4"/>
          </w:tcPr>
          <w:p>
            <w:pPr>
              <w:pStyle w:val="4"/>
            </w:pPr>
          </w:p>
        </w:tc>
        <w:tc>
          <w:tcPr>
            <w:gridSpan w:val="2"/>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600" w:hRule="exact"/>
        </w:trPr>
        <w:tc>
          <w:p>
            <w:pPr>
              <w:pStyle w:val="4"/>
            </w:pPr>
          </w:p>
        </w:tc>
        <w:tc>
          <w:p>
            <w:pPr>
              <w:pStyle w:val="4"/>
            </w:pPr>
          </w:p>
        </w:tc>
        <w:tc>
          <w:tcPr>
            <w:gridSpan w:val="20"/>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36.61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买入返售金融资产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59.91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6"/>
          </w:tcPr>
          <w:p>
            <w:pPr>
              <w:pStyle w:val="4"/>
            </w:pPr>
          </w:p>
        </w:tc>
        <w:tc>
          <w:tcPr>
            <w:gridSpan w:val="4"/>
          </w:tcPr>
          <w:p>
            <w:pPr>
              <w:pStyle w:val="4"/>
            </w:pPr>
          </w:p>
        </w:tc>
        <w:tc>
          <w:tcPr>
            <w:gridSpan w:val="2"/>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9"/>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9"/>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9"/>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580" w:hRule="atLeast"/>
        </w:trPr>
        <w:tc>
          <w:p>
            <w:pPr>
              <w:pStyle w:val="4"/>
            </w:pPr>
          </w:p>
        </w:tc>
        <w:tc>
          <w:tcPr>
            <w:gridSpan w:val="19"/>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w:t>
            </w:r>
            <w:r>
              <w:rPr>
                <w:rFonts w:hint="eastAsia" w:ascii="宋体" w:hAnsi="宋体" w:eastAsia="宋体" w:cs="宋体"/>
                <w:color w:val="000000"/>
                <w:sz w:val="21"/>
                <w:lang w:val="en-US" w:eastAsia="zh-CN"/>
              </w:rPr>
              <w:t xml:space="preserve"> </w:t>
            </w:r>
            <w:r>
              <w:rPr>
                <w:rFonts w:ascii="宋体" w:hAnsi="宋体" w:eastAsia="宋体" w:cs="宋体"/>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bookmarkStart w:id="7" w:name="_GoBack"/>
            <w:bookmarkEnd w:id="7"/>
            <w:r>
              <w:rPr>
                <w:rFonts w:ascii="宋体" w:hAnsi="宋体" w:eastAsia="宋体" w:cs="宋体"/>
                <w:color w:val="000000"/>
                <w:sz w:val="21"/>
              </w:rPr>
              <w:t>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exact"/>
        </w:trPr>
        <w:tc>
          <w:p>
            <w:pPr>
              <w:pStyle w:val="4"/>
            </w:pPr>
          </w:p>
        </w:tc>
        <w:tc>
          <w:p>
            <w:pPr>
              <w:pStyle w:val="4"/>
            </w:pPr>
          </w:p>
        </w:tc>
        <w:tc>
          <w:tcPr>
            <w:gridSpan w:val="6"/>
          </w:tcPr>
          <w:p>
            <w:pPr>
              <w:pStyle w:val="4"/>
            </w:pPr>
          </w:p>
        </w:tc>
        <w:tc>
          <w:tcPr>
            <w:gridSpan w:val="4"/>
          </w:tcPr>
          <w:p>
            <w:pPr>
              <w:pStyle w:val="4"/>
            </w:pPr>
          </w:p>
        </w:tc>
        <w:tc>
          <w:tcPr>
            <w:gridSpan w:val="2"/>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9"/>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840" w:hRule="exact"/>
        </w:trPr>
        <w:tc>
          <w:p>
            <w:pPr>
              <w:pStyle w:val="4"/>
            </w:pPr>
          </w:p>
        </w:tc>
        <w:tc>
          <w:tcPr>
            <w:gridSpan w:val="19"/>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新华资产-明鑫四号资产管理产品</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1,220,852,032.10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12.66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Z存放同业（线上）20220915002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650,000,000.00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汉口银行大额存单20200414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539,880,660.00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工商银行江门分行大额存单04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499,631,000.00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中国银行大额存单20200508001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479,994,720.00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21国开16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300,090,300.00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工商银行活期存款（福州）</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290,000,000.00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3.01</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20" w:hRule="exact"/>
        </w:trPr>
        <w:tc>
          <w:p>
            <w:pPr>
              <w:pStyle w:val="4"/>
            </w:pPr>
          </w:p>
        </w:tc>
        <w:tc>
          <w:p>
            <w:pPr>
              <w:pStyle w:val="4"/>
            </w:pPr>
          </w:p>
        </w:tc>
        <w:tc>
          <w:tcPr>
            <w:gridSpan w:val="6"/>
          </w:tcPr>
          <w:p>
            <w:pPr>
              <w:pStyle w:val="4"/>
            </w:pPr>
          </w:p>
        </w:tc>
        <w:tc>
          <w:tcPr>
            <w:gridSpan w:val="4"/>
          </w:tcPr>
          <w:p>
            <w:pPr>
              <w:pStyle w:val="4"/>
            </w:pPr>
          </w:p>
        </w:tc>
        <w:tc>
          <w:tcPr>
            <w:gridSpan w:val="2"/>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6"/>
          </w:tcPr>
          <w:p>
            <w:pPr>
              <w:pStyle w:val="4"/>
            </w:pPr>
          </w:p>
        </w:tc>
        <w:tc>
          <w:tcPr>
            <w:gridSpan w:val="4"/>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5" w:name="JR_PAGE_ANCHOR_0_6"/>
            <w:bookmarkEnd w:id="5"/>
          </w:p>
        </w:tc>
        <w:tc>
          <w:tcPr>
            <w:gridSpan w:val="4"/>
          </w:tcPr>
          <w:p>
            <w:pPr>
              <w:pStyle w:val="4"/>
            </w:pPr>
          </w:p>
        </w:tc>
        <w:tc>
          <w:tcPr>
            <w:gridSpan w:val="3"/>
          </w:tcPr>
          <w:p>
            <w:pPr>
              <w:pStyle w:val="4"/>
            </w:pPr>
          </w:p>
        </w:tc>
        <w:tc>
          <w:tcPr>
            <w:gridSpan w:val="4"/>
          </w:tcPr>
          <w:p>
            <w:pPr>
              <w:pStyle w:val="4"/>
            </w:pPr>
          </w:p>
        </w:tc>
        <w:tc>
          <w:tcPr>
            <w:gridSpan w:val="2"/>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9"/>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天天万利宝稳利2号净值型理财产品L款2022年第三季度报告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4"/>
          </w:tcPr>
          <w:p>
            <w:pPr>
              <w:pStyle w:val="4"/>
            </w:pPr>
          </w:p>
        </w:tc>
        <w:tc>
          <w:tcPr>
            <w:gridSpan w:val="3"/>
          </w:tcPr>
          <w:p>
            <w:pPr>
              <w:pStyle w:val="4"/>
            </w:pPr>
          </w:p>
        </w:tc>
        <w:tc>
          <w:tcPr>
            <w:gridSpan w:val="4"/>
          </w:tcPr>
          <w:p>
            <w:pPr>
              <w:pStyle w:val="4"/>
            </w:pPr>
          </w:p>
        </w:tc>
        <w:tc>
          <w:tcPr>
            <w:gridSpan w:val="2"/>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9"/>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1800" w:hRule="exact"/>
        </w:trPr>
        <w:tc>
          <w:p>
            <w:pPr>
              <w:pStyle w:val="4"/>
            </w:pPr>
          </w:p>
        </w:tc>
        <w:tc>
          <w:tcPr>
            <w:gridSpan w:val="19"/>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22CSFD98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261,971,442.00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22CSFD121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249,992,000.00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170,000,455.00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1.76</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wAfter w:w="40" w:type="dxa"/>
          <w:trHeight w:val="100" w:hRule="exact"/>
        </w:trPr>
        <w:tc>
          <w:p>
            <w:pPr>
              <w:pStyle w:val="4"/>
            </w:pPr>
          </w:p>
        </w:tc>
        <w:tc>
          <w:tcPr>
            <w:gridSpan w:val="4"/>
          </w:tcPr>
          <w:p>
            <w:pPr>
              <w:pStyle w:val="4"/>
            </w:pPr>
          </w:p>
        </w:tc>
        <w:tc>
          <w:tcPr>
            <w:gridSpan w:val="3"/>
          </w:tcPr>
          <w:p>
            <w:pPr>
              <w:pStyle w:val="4"/>
            </w:pPr>
          </w:p>
        </w:tc>
        <w:tc>
          <w:tcPr>
            <w:gridSpan w:val="4"/>
          </w:tcPr>
          <w:p>
            <w:pPr>
              <w:pStyle w:val="4"/>
            </w:pPr>
          </w:p>
        </w:tc>
        <w:tc>
          <w:tcPr>
            <w:gridSpan w:val="2"/>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9"/>
            <w:tcMar>
              <w:top w:w="0" w:type="dxa"/>
              <w:left w:w="0" w:type="dxa"/>
              <w:bottom w:w="0" w:type="dxa"/>
              <w:right w:w="0" w:type="dxa"/>
            </w:tcMar>
            <w:vAlign w:val="center"/>
          </w:tcPr>
          <w:p>
            <w:r>
              <w:rPr>
                <w:rFonts w:ascii="宋体" w:hAnsi="宋体" w:eastAsia="宋体" w:cs="宋体"/>
                <w:b/>
                <w:color w:val="000000"/>
                <w:sz w:val="21"/>
              </w:rPr>
              <w:t>5.报告期间关联交易情况</w:t>
            </w: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4"/>
          </w:tcPr>
          <w:p>
            <w:pPr>
              <w:pStyle w:val="4"/>
            </w:pPr>
          </w:p>
        </w:tc>
        <w:tc>
          <w:tcPr>
            <w:gridSpan w:val="15"/>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p>
            <w:pPr>
              <w:pStyle w:val="4"/>
            </w:pPr>
          </w:p>
        </w:tc>
      </w:tr>
      <w:tr>
        <w:tblPrEx>
          <w:tblCellMar>
            <w:top w:w="0" w:type="dxa"/>
            <w:left w:w="10" w:type="dxa"/>
            <w:bottom w:w="0" w:type="dxa"/>
            <w:right w:w="10" w:type="dxa"/>
          </w:tblCellMar>
        </w:tblPrEx>
        <w:trPr>
          <w:gridAfter w:val="4"/>
          <w:wAfter w:w="40" w:type="dxa"/>
          <w:trHeight w:val="11400" w:hRule="exact"/>
        </w:trPr>
        <w:tc>
          <w:p>
            <w:pPr>
              <w:pStyle w:val="4"/>
            </w:pPr>
          </w:p>
        </w:tc>
        <w:tc>
          <w:tcPr>
            <w:gridSpan w:val="19"/>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3000"/>
              <w:gridCol w:w="2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19联发PPN003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19陕有色MTN003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20泰安城乡MTN002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20武夷投资MTN001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20兴信02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兴业国信资产管理有限公司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21滁州同创MTN002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21东台城投MTN002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21高淳经开MTN001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21衡阳城投PPN004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21江夏城投MTN001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21晋江城投MTN003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21靖江滨江PPN002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21苏通MTN001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21新海连MTN002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21新余城建MTN002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21徐州兴铜PPN001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22鄂州城投CP001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22广西旅发SCP001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wAfter w:w="40" w:type="dxa"/>
          <w:trHeight w:val="500" w:hRule="exact"/>
        </w:trPr>
        <w:tc>
          <w:p>
            <w:pPr>
              <w:pStyle w:val="4"/>
            </w:pPr>
          </w:p>
        </w:tc>
        <w:tc>
          <w:tcPr>
            <w:gridSpan w:val="4"/>
          </w:tcPr>
          <w:p>
            <w:pPr>
              <w:pStyle w:val="4"/>
            </w:pPr>
          </w:p>
        </w:tc>
        <w:tc>
          <w:tcPr>
            <w:gridSpan w:val="3"/>
          </w:tcPr>
          <w:p>
            <w:pPr>
              <w:pStyle w:val="4"/>
            </w:pPr>
          </w:p>
        </w:tc>
        <w:tc>
          <w:tcPr>
            <w:gridSpan w:val="4"/>
          </w:tcPr>
          <w:p>
            <w:pPr>
              <w:pStyle w:val="4"/>
            </w:pPr>
          </w:p>
        </w:tc>
        <w:tc>
          <w:tcPr>
            <w:gridSpan w:val="2"/>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4"/>
          </w:tcPr>
          <w:p>
            <w:pPr>
              <w:pStyle w:val="4"/>
            </w:pPr>
          </w:p>
        </w:tc>
        <w:tc>
          <w:tcPr>
            <w:gridSpan w:val="3"/>
          </w:tcPr>
          <w:p>
            <w:pPr>
              <w:pStyle w:val="4"/>
            </w:pPr>
          </w:p>
        </w:tc>
        <w:tc>
          <w:tcPr>
            <w:gridSpan w:val="4"/>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6"/>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tcPr>
            <w:gridSpan w:val="6"/>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9"/>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天天万利宝稳利2号净值型理财产品L款2022年第三季度报告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tcPr>
            <w:gridSpan w:val="6"/>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9"/>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tcPr>
            <w:gridSpan w:val="19"/>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3000"/>
              <w:gridCol w:w="2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22华阳新材MTN010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22晋能煤业MTN014(科创票据)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22联发集MTN001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22南安市贸MTN001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22武进经发MTN003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22厦国贸控GN001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22厦门火炬MTN002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22钟楼新城PPN003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tcPr>
            <w:gridSpan w:val="6"/>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5"/>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9"/>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gridCol w:w="2200"/>
              <w:gridCol w:w="2200"/>
              <w:gridCol w:w="1800"/>
              <w:gridCol w:w="29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9"/>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tcPr>
            <w:gridSpan w:val="6"/>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5"/>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9"/>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gridCol w:w="2200"/>
              <w:gridCol w:w="2200"/>
              <w:gridCol w:w="1800"/>
              <w:gridCol w:w="29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9"/>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tcPr>
            <w:gridSpan w:val="6"/>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1"/>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21"/>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051010100100722043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兴业银行理财托管专户天天万利宝稳利2号L款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tcPr>
            <w:gridSpan w:val="6"/>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9"/>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9"/>
            <w:tcMar>
              <w:top w:w="0" w:type="dxa"/>
              <w:left w:w="0" w:type="dxa"/>
              <w:bottom w:w="0" w:type="dxa"/>
              <w:right w:w="0" w:type="dxa"/>
            </w:tcMar>
            <w:vAlign w:val="top"/>
          </w:tcPr>
          <w:p>
            <w:pPr>
              <w:jc w:val="right"/>
            </w:pPr>
            <w:r>
              <w:rPr>
                <w:rFonts w:ascii="宋体" w:hAnsi="宋体" w:eastAsia="宋体" w:cs="宋体"/>
                <w:color w:val="000000"/>
                <w:sz w:val="21"/>
              </w:rPr>
              <w:t>2022年10月26日</w:t>
            </w:r>
          </w:p>
        </w:tc>
        <w:tc>
          <w:tcPr>
            <w:gridSpan w:val="4"/>
          </w:tcPr>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2"/>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tcPr>
            <w:gridSpan w:val="6"/>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3"/>
          </w:tcPr>
          <w:p>
            <w:pPr>
              <w:pStyle w:val="4"/>
            </w:pPr>
          </w:p>
        </w:tc>
        <w:tc>
          <w:tcPr>
            <w:gridSpan w:val="4"/>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6"/>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478831E4"/>
    <w:rsid w:val="61667B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2022-10-21T06:32:00Z</dcterms:created>
  <dc:creator>cib</dc:creator>
  <cp:lastModifiedBy>cib</cp:lastModifiedBy>
  <dcterms:modified xsi:type="dcterms:W3CDTF">2022-10-21T12:10:36Z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